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hAnsi="仿宋_GB2312" w:eastAsia="仿宋_GB2312" w:cs="仿宋_GB2312"/>
          <w:sz w:val="44"/>
          <w:szCs w:val="44"/>
        </w:rPr>
      </w:pPr>
      <w:bookmarkStart w:id="0" w:name="_Toc12497"/>
      <w:bookmarkStart w:id="1" w:name="_Toc213396945"/>
      <w:bookmarkStart w:id="2" w:name="_Toc213397009"/>
      <w:bookmarkStart w:id="3" w:name="_Toc213396759"/>
      <w:bookmarkStart w:id="4" w:name="_Toc217446031"/>
      <w:bookmarkStart w:id="5" w:name="_Toc213496267"/>
    </w:p>
    <w:p>
      <w:pPr>
        <w:jc w:val="center"/>
        <w:rPr>
          <w:rFonts w:ascii="仿宋_GB2312" w:hAnsi="仿宋_GB2312" w:eastAsia="仿宋_GB2312" w:cs="仿宋_GB2312"/>
          <w:sz w:val="48"/>
          <w:szCs w:val="48"/>
          <w:highlight w:val="yellow"/>
          <w:u w:val="single"/>
        </w:rPr>
      </w:pPr>
      <w:r>
        <w:rPr>
          <w:rFonts w:hint="eastAsia" w:ascii="仿宋_GB2312" w:hAnsi="仿宋_GB2312" w:eastAsia="仿宋_GB2312" w:cs="仿宋_GB2312"/>
          <w:sz w:val="44"/>
          <w:szCs w:val="44"/>
          <w:highlight w:val="yellow"/>
          <w:u w:val="single"/>
        </w:rPr>
        <w:t>成都汽车职业技术学校耗材采购项目</w:t>
      </w:r>
    </w:p>
    <w:p>
      <w:pPr>
        <w:rPr>
          <w:rFonts w:ascii="仿宋_GB2312" w:hAnsi="仿宋_GB2312" w:eastAsia="仿宋_GB2312" w:cs="仿宋_GB2312"/>
          <w:sz w:val="52"/>
          <w:szCs w:val="52"/>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w:t>
      </w:r>
      <w:r>
        <w:rPr>
          <w:rFonts w:hint="eastAsia" w:ascii="仿宋_GB2312" w:hAnsi="仿宋_GB2312" w:eastAsia="仿宋_GB2312" w:cs="仿宋_GB2312"/>
          <w:sz w:val="30"/>
          <w:szCs w:val="30"/>
          <w:highlight w:val="yellow"/>
          <w:u w:val="single"/>
        </w:rPr>
        <w:t>10</w:t>
      </w:r>
      <w:r>
        <w:rPr>
          <w:rFonts w:hint="eastAsia" w:ascii="仿宋_GB2312" w:hAnsi="仿宋_GB2312" w:eastAsia="仿宋_GB2312" w:cs="仿宋_GB2312"/>
          <w:sz w:val="30"/>
          <w:szCs w:val="30"/>
        </w:rPr>
        <w:t>月</w:t>
      </w:r>
    </w:p>
    <w:p>
      <w:pPr>
        <w:spacing w:line="700" w:lineRule="exact"/>
        <w:jc w:val="center"/>
        <w:rPr>
          <w:rFonts w:ascii="仿宋_GB2312" w:hAnsi="仿宋_GB2312" w:eastAsia="仿宋_GB2312" w:cs="仿宋_GB2312"/>
          <w:bCs/>
          <w:sz w:val="44"/>
          <w:szCs w:val="44"/>
        </w:rPr>
      </w:pPr>
      <w:bookmarkStart w:id="6" w:name="_Hlt101843627"/>
      <w:bookmarkEnd w:id="6"/>
      <w:bookmarkStart w:id="7" w:name="_Hlt101233737"/>
      <w:bookmarkEnd w:id="7"/>
      <w:r>
        <w:rPr>
          <w:rFonts w:hint="eastAsia" w:ascii="仿宋_GB2312" w:hAnsi="仿宋_GB2312" w:eastAsia="仿宋_GB2312" w:cs="仿宋_GB2312"/>
          <w:bCs/>
          <w:sz w:val="44"/>
          <w:szCs w:val="44"/>
        </w:rPr>
        <w:t>目    录</w:t>
      </w:r>
    </w:p>
    <w:p>
      <w:pPr>
        <w:jc w:val="center"/>
        <w:rPr>
          <w:rFonts w:ascii="仿宋_GB2312" w:hAnsi="仿宋_GB2312" w:eastAsia="仿宋_GB2312" w:cs="仿宋_GB2312"/>
          <w:b/>
          <w:bCs/>
          <w:sz w:val="36"/>
          <w:szCs w:val="36"/>
        </w:rPr>
      </w:pPr>
    </w:p>
    <w:p>
      <w:pPr>
        <w:pStyle w:val="20"/>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fldChar w:fldCharType="begin"/>
      </w:r>
      <w:r>
        <w:instrText xml:space="preserve"> HYPERLINK \l "_Toc1183" </w:instrText>
      </w:r>
      <w:r>
        <w:fldChar w:fldCharType="separate"/>
      </w:r>
      <w:r>
        <w:rPr>
          <w:rFonts w:hint="eastAsia" w:ascii="仿宋_GB2312" w:hAnsi="仿宋_GB2312" w:eastAsia="仿宋_GB2312" w:cs="仿宋_GB2312"/>
        </w:rPr>
        <w:t>第一章  比选公告</w:t>
      </w:r>
      <w:r>
        <w:tab/>
      </w:r>
      <w:r>
        <w:fldChar w:fldCharType="begin"/>
      </w:r>
      <w:r>
        <w:instrText xml:space="preserve"> PAGEREF _Toc1183 \h </w:instrText>
      </w:r>
      <w:r>
        <w:fldChar w:fldCharType="separate"/>
      </w:r>
      <w:r>
        <w:t>3</w:t>
      </w:r>
      <w:r>
        <w:fldChar w:fldCharType="end"/>
      </w:r>
      <w:r>
        <w:fldChar w:fldCharType="end"/>
      </w:r>
    </w:p>
    <w:p>
      <w:pPr>
        <w:pStyle w:val="20"/>
        <w:tabs>
          <w:tab w:val="right" w:leader="dot" w:pos="8959"/>
        </w:tabs>
      </w:pPr>
      <w:r>
        <w:fldChar w:fldCharType="begin"/>
      </w:r>
      <w:r>
        <w:instrText xml:space="preserve"> HYPERLINK \l "_Toc4593" </w:instrText>
      </w:r>
      <w:r>
        <w:fldChar w:fldCharType="separate"/>
      </w:r>
      <w:r>
        <w:rPr>
          <w:rFonts w:hint="eastAsia" w:ascii="仿宋_GB2312" w:hAnsi="仿宋_GB2312" w:eastAsia="仿宋_GB2312" w:cs="仿宋_GB2312"/>
        </w:rPr>
        <w:t>第二章  投标人须知</w:t>
      </w:r>
      <w:r>
        <w:tab/>
      </w:r>
      <w:r>
        <w:fldChar w:fldCharType="begin"/>
      </w:r>
      <w:r>
        <w:instrText xml:space="preserve"> PAGEREF _Toc4593 \h </w:instrText>
      </w:r>
      <w:r>
        <w:fldChar w:fldCharType="separate"/>
      </w:r>
      <w:r>
        <w:t>5</w:t>
      </w:r>
      <w:r>
        <w:fldChar w:fldCharType="end"/>
      </w:r>
      <w:r>
        <w:fldChar w:fldCharType="end"/>
      </w:r>
    </w:p>
    <w:p>
      <w:pPr>
        <w:pStyle w:val="20"/>
        <w:tabs>
          <w:tab w:val="right" w:leader="dot" w:pos="8959"/>
        </w:tabs>
      </w:pPr>
      <w:r>
        <w:fldChar w:fldCharType="begin"/>
      </w:r>
      <w:r>
        <w:instrText xml:space="preserve"> HYPERLINK \l "_Toc4701" </w:instrText>
      </w:r>
      <w:r>
        <w:fldChar w:fldCharType="separate"/>
      </w:r>
      <w:r>
        <w:rPr>
          <w:rFonts w:hint="eastAsia" w:ascii="仿宋_GB2312" w:hAnsi="仿宋_GB2312" w:eastAsia="仿宋_GB2312" w:cs="仿宋_GB2312"/>
        </w:rPr>
        <w:t>第三章  投标文件格式</w:t>
      </w:r>
      <w:r>
        <w:tab/>
      </w:r>
      <w:r>
        <w:fldChar w:fldCharType="begin"/>
      </w:r>
      <w:r>
        <w:instrText xml:space="preserve"> PAGEREF _Toc4701 \h </w:instrText>
      </w:r>
      <w:r>
        <w:fldChar w:fldCharType="separate"/>
      </w:r>
      <w:r>
        <w:t>11</w:t>
      </w:r>
      <w:r>
        <w:fldChar w:fldCharType="end"/>
      </w:r>
      <w:r>
        <w:fldChar w:fldCharType="end"/>
      </w:r>
    </w:p>
    <w:p>
      <w:pPr>
        <w:pStyle w:val="20"/>
        <w:tabs>
          <w:tab w:val="right" w:leader="dot" w:pos="8959"/>
        </w:tabs>
      </w:pPr>
      <w:r>
        <w:fldChar w:fldCharType="begin"/>
      </w:r>
      <w:r>
        <w:instrText xml:space="preserve"> HYPERLINK \l "_Toc8165" </w:instrText>
      </w:r>
      <w:r>
        <w:fldChar w:fldCharType="separate"/>
      </w:r>
      <w:r>
        <w:rPr>
          <w:rFonts w:hint="eastAsia" w:ascii="仿宋_GB2312" w:hAnsi="仿宋_GB2312" w:eastAsia="仿宋_GB2312" w:cs="仿宋_GB2312"/>
        </w:rPr>
        <w:t>第四章  资格审查</w:t>
      </w:r>
      <w:r>
        <w:tab/>
      </w:r>
      <w:r>
        <w:fldChar w:fldCharType="begin"/>
      </w:r>
      <w:r>
        <w:instrText xml:space="preserve"> PAGEREF _Toc8165 \h </w:instrText>
      </w:r>
      <w:r>
        <w:fldChar w:fldCharType="separate"/>
      </w:r>
      <w:r>
        <w:t>20</w:t>
      </w:r>
      <w:r>
        <w:fldChar w:fldCharType="end"/>
      </w:r>
      <w:r>
        <w:fldChar w:fldCharType="end"/>
      </w:r>
    </w:p>
    <w:p>
      <w:pPr>
        <w:spacing w:line="480" w:lineRule="auto"/>
        <w:rPr>
          <w:rFonts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pPr>
        <w:pStyle w:val="2"/>
        <w:spacing w:line="700" w:lineRule="exact"/>
        <w:jc w:val="center"/>
        <w:rPr>
          <w:rFonts w:ascii="仿宋_GB2312" w:hAnsi="仿宋_GB2312" w:eastAsia="仿宋_GB2312" w:cs="仿宋_GB2312"/>
          <w:b w:val="0"/>
        </w:rPr>
      </w:pPr>
      <w:bookmarkStart w:id="9" w:name="_Toc1183"/>
      <w:r>
        <w:rPr>
          <w:rFonts w:hint="eastAsia" w:ascii="仿宋_GB2312" w:hAnsi="仿宋_GB2312" w:eastAsia="仿宋_GB2312" w:cs="仿宋_GB2312"/>
          <w:b w:val="0"/>
        </w:rPr>
        <w:t>第一章  比选公告</w:t>
      </w:r>
      <w:bookmarkEnd w:id="9"/>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成都汽车职业技术学校耗材采购项目</w:t>
      </w:r>
      <w:r>
        <w:rPr>
          <w:rFonts w:hint="eastAsia" w:ascii="宋体" w:hAnsi="宋体" w:cs="宋体"/>
          <w:sz w:val="24"/>
        </w:rPr>
        <w:t>进行比选。兹邀请符合本次比选条件的比选申请人参加。</w:t>
      </w:r>
    </w:p>
    <w:p>
      <w:pPr>
        <w:spacing w:line="360" w:lineRule="auto"/>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成都汽车职业技术学校耗材采购项目</w:t>
      </w:r>
    </w:p>
    <w:p>
      <w:pPr>
        <w:spacing w:line="360" w:lineRule="auto"/>
        <w:ind w:firstLine="482" w:firstLineChars="200"/>
        <w:rPr>
          <w:rFonts w:hint="eastAsia" w:ascii="宋体" w:hAnsi="宋体" w:eastAsia="宋体" w:cs="宋体"/>
          <w:b/>
          <w:color w:val="FF0000"/>
          <w:sz w:val="24"/>
          <w:lang w:val="en-US" w:eastAsia="zh-CN"/>
        </w:rPr>
      </w:pPr>
      <w:r>
        <w:rPr>
          <w:rFonts w:hint="eastAsia" w:ascii="宋体" w:hAnsi="宋体" w:cs="宋体"/>
          <w:b/>
          <w:color w:val="FF0000"/>
          <w:sz w:val="24"/>
        </w:rPr>
        <w:t>二、项目编号：ZNZZ-HC-2023103</w:t>
      </w:r>
      <w:r>
        <w:rPr>
          <w:rFonts w:hint="eastAsia" w:ascii="宋体" w:hAnsi="宋体" w:cs="宋体"/>
          <w:b/>
          <w:color w:val="FF0000"/>
          <w:sz w:val="24"/>
          <w:lang w:val="en-US" w:eastAsia="zh-CN"/>
        </w:rPr>
        <w:t>1</w:t>
      </w:r>
    </w:p>
    <w:p>
      <w:pPr>
        <w:spacing w:line="360" w:lineRule="auto"/>
        <w:ind w:firstLine="482" w:firstLineChars="200"/>
        <w:rPr>
          <w:rFonts w:ascii="宋体" w:hAnsi="宋体" w:cs="宋体"/>
          <w:b/>
          <w:sz w:val="24"/>
        </w:rPr>
      </w:pPr>
      <w:r>
        <w:rPr>
          <w:rFonts w:hint="eastAsia" w:ascii="宋体" w:hAnsi="宋体" w:cs="宋体"/>
          <w:b/>
          <w:sz w:val="24"/>
        </w:rPr>
        <w:t>三、比选申请人参加本次比选活动应具备下列条件：</w:t>
      </w:r>
    </w:p>
    <w:p>
      <w:pPr>
        <w:pStyle w:val="37"/>
        <w:ind w:firstLine="600" w:firstLineChars="250"/>
        <w:rPr>
          <w:rFonts w:hAnsi="宋体" w:cs="宋体"/>
          <w:sz w:val="24"/>
          <w:szCs w:val="24"/>
        </w:rPr>
      </w:pPr>
      <w:r>
        <w:rPr>
          <w:rFonts w:hint="eastAsia" w:hAnsi="宋体" w:cs="宋体"/>
          <w:sz w:val="24"/>
          <w:szCs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4、具有依法缴纳税收和社会保障资金的良好记录；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pPr>
        <w:pStyle w:val="37"/>
        <w:ind w:firstLine="600" w:firstLineChars="250"/>
        <w:rPr>
          <w:rFonts w:hAnsi="宋体" w:cs="宋体"/>
          <w:sz w:val="24"/>
          <w:szCs w:val="24"/>
        </w:rPr>
      </w:pPr>
      <w:r>
        <w:rPr>
          <w:rFonts w:hint="eastAsia" w:hAnsi="宋体" w:cs="宋体"/>
          <w:sz w:val="24"/>
          <w:szCs w:val="24"/>
        </w:rPr>
        <w:t>6、法律、行政法规规定的其他条件；</w:t>
      </w:r>
    </w:p>
    <w:p>
      <w:pPr>
        <w:pStyle w:val="37"/>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37"/>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37"/>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ascii="宋体" w:hAnsi="宋体" w:cs="宋体"/>
          <w:b/>
          <w:bCs/>
          <w:color w:val="FF0000"/>
          <w:sz w:val="24"/>
        </w:rPr>
        <w:t>加密盖章扫描件PDF版。</w:t>
      </w:r>
    </w:p>
    <w:p>
      <w:pPr>
        <w:spacing w:line="360" w:lineRule="auto"/>
        <w:ind w:firstLine="480" w:firstLineChars="200"/>
        <w:jc w:val="left"/>
        <w:rPr>
          <w:rFonts w:ascii="宋体" w:hAnsi="宋体" w:cs="宋体"/>
          <w:sz w:val="24"/>
        </w:rPr>
      </w:pPr>
      <w:r>
        <w:rPr>
          <w:rFonts w:hint="eastAsia" w:ascii="宋体" w:hAnsi="宋体" w:cs="宋体"/>
          <w:sz w:val="24"/>
        </w:rPr>
        <w:t>递交邮箱：</w:t>
      </w:r>
      <w:r>
        <w:rPr>
          <w:rFonts w:hint="eastAsia" w:ascii="宋体" w:hAnsi="宋体" w:cs="宋体"/>
          <w:b/>
          <w:bCs/>
          <w:color w:val="FF0000"/>
          <w:sz w:val="24"/>
        </w:rPr>
        <w:t>1444953171@qq.com。</w:t>
      </w:r>
    </w:p>
    <w:p>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rPr>
        <w:t>2023年11月</w:t>
      </w:r>
      <w:r>
        <w:rPr>
          <w:rFonts w:hint="eastAsia" w:ascii="宋体" w:hAnsi="宋体" w:cs="宋体"/>
          <w:b/>
          <w:bCs/>
          <w:color w:val="FF0000"/>
          <w:sz w:val="24"/>
          <w:lang w:val="en-US" w:eastAsia="zh-CN"/>
        </w:rPr>
        <w:t>5</w:t>
      </w:r>
      <w:r>
        <w:rPr>
          <w:rFonts w:hint="eastAsia" w:ascii="宋体" w:hAnsi="宋体" w:cs="宋体"/>
          <w:b/>
          <w:bCs/>
          <w:color w:val="FF0000"/>
          <w:sz w:val="24"/>
        </w:rPr>
        <w:t>日17时00分</w:t>
      </w:r>
      <w:r>
        <w:rPr>
          <w:rFonts w:hint="eastAsia" w:ascii="宋体" w:hAnsi="宋体" w:cs="宋体"/>
          <w:b/>
          <w:sz w:val="24"/>
        </w:rPr>
        <w:t>（北京时间）</w:t>
      </w:r>
      <w:r>
        <w:rPr>
          <w:rFonts w:hint="eastAsia" w:ascii="宋体" w:hAnsi="宋体" w:cs="宋体"/>
          <w:b/>
          <w:bCs/>
          <w:color w:val="FF0000"/>
          <w:sz w:val="24"/>
        </w:rPr>
        <w:t>，</w:t>
      </w:r>
      <w:r>
        <w:rPr>
          <w:rFonts w:hint="eastAsia" w:ascii="宋体" w:hAnsi="宋体" w:cs="宋体"/>
          <w:sz w:val="24"/>
        </w:rPr>
        <w:t>逾期发送的比选文件恕不接收。</w:t>
      </w:r>
    </w:p>
    <w:p>
      <w:pPr>
        <w:pStyle w:val="37"/>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37"/>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37"/>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2"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2023年11月5日17时00分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本次比选不接受邮寄的比选申请文件。</w:t>
      </w:r>
    </w:p>
    <w:p>
      <w:pPr>
        <w:spacing w:line="360" w:lineRule="auto"/>
        <w:ind w:firstLine="482"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2"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2" w:firstLineChars="200"/>
        <w:jc w:val="left"/>
        <w:rPr>
          <w:rFonts w:ascii="宋体" w:hAnsi="宋体" w:cs="宋体"/>
          <w:b/>
          <w:sz w:val="24"/>
        </w:rPr>
      </w:pPr>
      <w:r>
        <w:rPr>
          <w:rFonts w:hint="eastAsia" w:ascii="宋体" w:hAnsi="宋体" w:cs="宋体"/>
          <w:b/>
          <w:sz w:val="24"/>
        </w:rPr>
        <w:t>八、联系方式</w:t>
      </w:r>
    </w:p>
    <w:p>
      <w:pPr>
        <w:spacing w:line="360" w:lineRule="auto"/>
        <w:ind w:firstLine="964"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rPr>
          <w:rFonts w:ascii="仿宋_GB2312" w:hAnsi="仿宋_GB2312" w:eastAsia="仿宋_GB2312" w:cs="仿宋_GB2312"/>
        </w:rPr>
      </w:pPr>
    </w:p>
    <w:p>
      <w:pPr>
        <w:pStyle w:val="10"/>
        <w:rPr>
          <w:rFonts w:ascii="仿宋_GB2312" w:hAnsi="仿宋_GB2312" w:eastAsia="仿宋_GB2312" w:cs="仿宋_GB2312"/>
        </w:rPr>
      </w:pPr>
    </w:p>
    <w:p>
      <w:pPr>
        <w:pStyle w:val="22"/>
        <w:rPr>
          <w:rFonts w:ascii="仿宋_GB2312" w:hAnsi="仿宋_GB2312" w:eastAsia="仿宋_GB2312" w:cs="仿宋_GB2312"/>
          <w:b w:val="0"/>
        </w:rPr>
      </w:pPr>
    </w:p>
    <w:p>
      <w:pPr>
        <w:rPr>
          <w:rFonts w:ascii="仿宋_GB2312" w:hAnsi="仿宋_GB2312" w:eastAsia="仿宋_GB2312" w:cs="仿宋_GB2312"/>
        </w:rPr>
      </w:pPr>
    </w:p>
    <w:p>
      <w:pPr>
        <w:pStyle w:val="10"/>
        <w:rPr>
          <w:rFonts w:ascii="仿宋_GB2312" w:hAnsi="仿宋_GB2312" w:eastAsia="仿宋_GB2312" w:cs="仿宋_GB2312"/>
        </w:rPr>
      </w:pPr>
    </w:p>
    <w:p>
      <w:pPr>
        <w:pStyle w:val="22"/>
        <w:rPr>
          <w:rFonts w:ascii="仿宋_GB2312" w:hAnsi="仿宋_GB2312" w:eastAsia="仿宋_GB2312" w:cs="仿宋_GB2312"/>
          <w:b w:val="0"/>
        </w:rPr>
      </w:pPr>
    </w:p>
    <w:p>
      <w:pPr>
        <w:rPr>
          <w:rFonts w:ascii="仿宋_GB2312" w:hAnsi="仿宋_GB2312" w:eastAsia="仿宋_GB2312" w:cs="仿宋_GB2312"/>
        </w:rPr>
      </w:pPr>
    </w:p>
    <w:p>
      <w:pPr>
        <w:pStyle w:val="10"/>
        <w:rPr>
          <w:rFonts w:ascii="仿宋_GB2312" w:hAnsi="仿宋_GB2312" w:eastAsia="仿宋_GB2312" w:cs="仿宋_GB2312"/>
        </w:rPr>
      </w:pPr>
    </w:p>
    <w:p>
      <w:pPr>
        <w:pStyle w:val="22"/>
      </w:pPr>
    </w:p>
    <w:p/>
    <w:p>
      <w:pPr>
        <w:pStyle w:val="10"/>
      </w:pPr>
    </w:p>
    <w:p>
      <w:pPr>
        <w:pStyle w:val="22"/>
      </w:pPr>
    </w:p>
    <w:p>
      <w:pPr>
        <w:pStyle w:val="2"/>
        <w:spacing w:before="120" w:after="120" w:line="700" w:lineRule="exact"/>
        <w:jc w:val="center"/>
        <w:rPr>
          <w:rFonts w:ascii="仿宋_GB2312" w:hAnsi="仿宋_GB2312" w:eastAsia="仿宋_GB2312" w:cs="仿宋_GB2312"/>
          <w:b w:val="0"/>
        </w:rPr>
      </w:pPr>
      <w:bookmarkStart w:id="10" w:name="_Toc4593"/>
      <w:r>
        <w:rPr>
          <w:rFonts w:hint="eastAsia" w:ascii="仿宋_GB2312" w:hAnsi="仿宋_GB2312" w:eastAsia="仿宋_GB2312" w:cs="仿宋_GB2312"/>
          <w:b w:val="0"/>
        </w:rPr>
        <w:t>第二章  投标人须知</w:t>
      </w:r>
      <w:bookmarkEnd w:id="0"/>
      <w:bookmarkEnd w:id="10"/>
    </w:p>
    <w:bookmarkEnd w:id="1"/>
    <w:bookmarkEnd w:id="2"/>
    <w:bookmarkEnd w:id="3"/>
    <w:bookmarkEnd w:id="4"/>
    <w:bookmarkEnd w:id="5"/>
    <w:p>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b w:val="0"/>
          <w:bCs w:val="0"/>
        </w:rPr>
        <w:t>一、比选申请人须知</w:t>
      </w:r>
    </w:p>
    <w:p>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项目名称：成都汽车职业技术学校耗材采购项目</w:t>
      </w:r>
    </w:p>
    <w:p>
      <w:pPr>
        <w:spacing w:line="360" w:lineRule="auto"/>
        <w:ind w:right="1123"/>
        <w:rPr>
          <w:rFonts w:hint="eastAsia" w:ascii="方正仿宋_GB2312" w:hAnsi="方正仿宋_GB2312" w:eastAsia="方正仿宋_GB2312" w:cs="方正仿宋_GB2312"/>
          <w:b/>
          <w:bCs/>
          <w:sz w:val="28"/>
          <w:szCs w:val="28"/>
          <w:highlight w:val="yellow"/>
          <w:lang w:val="en-US" w:eastAsia="zh-CN"/>
        </w:rPr>
      </w:pPr>
      <w:r>
        <w:rPr>
          <w:rFonts w:hint="eastAsia" w:ascii="方正仿宋_GB2312" w:hAnsi="方正仿宋_GB2312" w:eastAsia="方正仿宋_GB2312" w:cs="方正仿宋_GB2312"/>
          <w:b/>
          <w:bCs/>
          <w:sz w:val="28"/>
          <w:szCs w:val="28"/>
        </w:rPr>
        <w:t>采购项目编号：</w:t>
      </w:r>
      <w:r>
        <w:rPr>
          <w:rFonts w:hint="eastAsia" w:ascii="方正仿宋_GB2312" w:hAnsi="方正仿宋_GB2312" w:eastAsia="方正仿宋_GB2312" w:cs="方正仿宋_GB2312"/>
          <w:b/>
          <w:bCs/>
          <w:sz w:val="28"/>
          <w:szCs w:val="28"/>
          <w:highlight w:val="yellow"/>
        </w:rPr>
        <w:t>ZNZZ-HC-202310</w:t>
      </w:r>
      <w:r>
        <w:rPr>
          <w:rFonts w:hint="eastAsia" w:ascii="方正仿宋_GB2312" w:hAnsi="方正仿宋_GB2312" w:eastAsia="方正仿宋_GB2312" w:cs="方正仿宋_GB2312"/>
          <w:b/>
          <w:bCs/>
          <w:sz w:val="28"/>
          <w:szCs w:val="28"/>
          <w:highlight w:val="yellow"/>
          <w:lang w:val="en-US" w:eastAsia="zh-CN"/>
        </w:rPr>
        <w:t>31</w:t>
      </w:r>
    </w:p>
    <w:p>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最高限价：</w:t>
      </w:r>
      <w:r>
        <w:rPr>
          <w:rFonts w:ascii="方正仿宋_GB2312" w:hAnsi="方正仿宋_GB2312" w:eastAsia="方正仿宋_GB2312" w:cs="方正仿宋_GB2312"/>
          <w:b/>
          <w:bCs/>
          <w:sz w:val="28"/>
          <w:szCs w:val="28"/>
        </w:rPr>
        <w:t>47684</w:t>
      </w:r>
      <w:r>
        <w:rPr>
          <w:rFonts w:hint="eastAsia" w:ascii="方正仿宋_GB2312" w:hAnsi="方正仿宋_GB2312" w:eastAsia="方正仿宋_GB2312" w:cs="方正仿宋_GB2312"/>
          <w:b/>
          <w:bCs/>
          <w:sz w:val="28"/>
          <w:szCs w:val="28"/>
        </w:rPr>
        <w:t>.00元</w:t>
      </w:r>
    </w:p>
    <w:tbl>
      <w:tblPr>
        <w:tblStyle w:val="28"/>
        <w:tblW w:w="8837" w:type="dxa"/>
        <w:tblInd w:w="98" w:type="dxa"/>
        <w:tblLayout w:type="fixed"/>
        <w:tblCellMar>
          <w:top w:w="0" w:type="dxa"/>
          <w:left w:w="108" w:type="dxa"/>
          <w:bottom w:w="0" w:type="dxa"/>
          <w:right w:w="108" w:type="dxa"/>
        </w:tblCellMar>
      </w:tblPr>
      <w:tblGrid>
        <w:gridCol w:w="2637"/>
        <w:gridCol w:w="4172"/>
        <w:gridCol w:w="1000"/>
        <w:gridCol w:w="1028"/>
      </w:tblGrid>
      <w:tr>
        <w:tblPrEx>
          <w:tblCellMar>
            <w:top w:w="0" w:type="dxa"/>
            <w:left w:w="108" w:type="dxa"/>
            <w:bottom w:w="0" w:type="dxa"/>
            <w:right w:w="108" w:type="dxa"/>
          </w:tblCellMar>
        </w:tblPrEx>
        <w:trPr>
          <w:trHeight w:val="162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物品或服务名称</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品牌规格型号、使用要求及参数；服务（劳务）内容及标准</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单位</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数量</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底板</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2A12 172*135*45</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顶板</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45钢 130*115*35 不用气割</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铝板</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2A12 125*45*1000</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铝块</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2A12 130*60*40</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块</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圆棒料</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 xml:space="preserve">55*32 </w:t>
            </w:r>
            <w:r>
              <w:rPr>
                <w:rStyle w:val="68"/>
                <w:rFonts w:eastAsia="方正仿宋_GBK"/>
                <w:lang w:bidi="ar"/>
              </w:rPr>
              <w:t>45</w:t>
            </w:r>
            <w:r>
              <w:rPr>
                <w:rStyle w:val="67"/>
                <w:rFonts w:hint="default"/>
                <w:lang w:bidi="ar"/>
              </w:rPr>
              <w:t>钢</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200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圆棒料</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 xml:space="preserve">55*105 </w:t>
            </w:r>
            <w:r>
              <w:rPr>
                <w:rStyle w:val="68"/>
                <w:rFonts w:eastAsia="方正仿宋_GBK"/>
                <w:lang w:bidi="ar"/>
              </w:rPr>
              <w:t>45</w:t>
            </w:r>
            <w:r>
              <w:rPr>
                <w:rStyle w:val="67"/>
                <w:rFonts w:hint="default"/>
                <w:lang w:bidi="ar"/>
              </w:rPr>
              <w:t xml:space="preserve">钢 </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120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倒角铣刀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6 （</w:t>
            </w:r>
            <w:r>
              <w:rPr>
                <w:rStyle w:val="68"/>
                <w:rFonts w:eastAsia="方正仿宋_GBK"/>
                <w:lang w:bidi="ar"/>
              </w:rPr>
              <w:t>L50</w:t>
            </w:r>
            <w:r>
              <w:rPr>
                <w:rStyle w:val="67"/>
                <w:rFonts w:hint="default"/>
                <w:lang w:bidi="ar"/>
              </w:rPr>
              <w:t>）</w:t>
            </w:r>
            <w:r>
              <w:rPr>
                <w:rStyle w:val="68"/>
                <w:rFonts w:eastAsia="方正仿宋_GBK"/>
                <w:lang w:bidi="ar"/>
              </w:rPr>
              <w:t xml:space="preserve"> </w:t>
            </w:r>
            <w:r>
              <w:rPr>
                <w:rStyle w:val="67"/>
                <w:rFonts w:hint="default"/>
                <w:lang w:bidi="ar"/>
              </w:rPr>
              <w:t>钻领材料巴尔扎斯涂层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倒角铣刀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6 （</w:t>
            </w:r>
            <w:r>
              <w:rPr>
                <w:rStyle w:val="68"/>
                <w:rFonts w:eastAsia="方正仿宋_GBK"/>
                <w:lang w:bidi="ar"/>
              </w:rPr>
              <w:t>L75</w:t>
            </w:r>
            <w:r>
              <w:rPr>
                <w:rStyle w:val="67"/>
                <w:rFonts w:hint="default"/>
                <w:lang w:bidi="ar"/>
              </w:rPr>
              <w:t>）钻领材料巴尔扎斯涂层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4 钢用LX开粗和NX-G粗精一体数量各一半</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6 钢用LX开粗和NX-G粗精一体数量各一半</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8 钢用LX开粗和NX-G粗精一体数量各一半</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10 钢用LX开粗和NX-G粗精一体数量各一半</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12 钢用LX开粗和NX-G粗精一体数量各一半</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₡8定螺距1.5 住友材料巴尔扎斯涂层</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6 LC强力铝用</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8 LC强力铝用</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10 LC强力铝用</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12 LC强力铝用</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12-TWO 精加工钢用</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8</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铣刀</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Style w:val="66"/>
                <w:lang w:bidi="ar"/>
              </w:rPr>
              <w:t>₡</w:t>
            </w:r>
            <w:r>
              <w:rPr>
                <w:rStyle w:val="67"/>
                <w:rFonts w:hint="default"/>
                <w:lang w:bidi="ar"/>
              </w:rPr>
              <w:t>10-TWO 精加工钢用</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8</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攻丝刀柄</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BT40 ER32 动平衡</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杠杆表</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精度0.01 513-404</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杠杆表</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精度0.002 513-475</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测针</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D2*L10 M2.5 金属测头</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测针</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D2*L30 M2.5 红宝石测头</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表座</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63*17 深度计表座配件</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V型磁力表座</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4T</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个</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磁铁钉</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大号</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个</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分中棒</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标准</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分中棒</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T型</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支</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海绵</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厚度20mm 1m*1m</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张</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海绵</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厚度30mm 1m*1m</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张</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外圆精车刀片 </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VBGT110302R-Y TN60 正刀R0.2 加工钢件</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外圆精车刀片 </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VBGT110302L-Y TN60 反刀R0.2 加工钢件</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外圆车刀片</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VBMT160404HQ CA530 加工钢件</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外圆精车刀片 </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TNGG160402R-S NX2525 正刀R0.2 加工钢件</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外圆车刀垫</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SW0804 10片/盒</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盒</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6</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外圆车刀柄</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MWLNR2020K08</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把</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内孔车刀片</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CCMT09T302-24 NS9530</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切槽刀片</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MGMN300-M PC5300</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切槽刀片</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GMM3020 TN90</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片</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防锈剂</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WD-40</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瓶</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磁性开关</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机器人竞赛用</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条</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20</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3D打印材料</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PLA 打印材料 1.75mm 红色 1KG</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卷</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3D打印材料</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PLA 打印材料 1.75mm 绿色 1KG</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卷</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3D打印材料</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PLA 打印材料 1.75mm 白色 1KG</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卷</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香蕉插座</w:t>
            </w:r>
          </w:p>
        </w:tc>
        <w:tc>
          <w:tcPr>
            <w:tcW w:w="4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4mm 纯铜</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个</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30</w:t>
            </w:r>
          </w:p>
        </w:tc>
      </w:tr>
    </w:tbl>
    <w:p>
      <w:pPr>
        <w:spacing w:line="360" w:lineRule="auto"/>
        <w:ind w:right="1123"/>
        <w:rPr>
          <w:rFonts w:ascii="方正仿宋_GBK" w:hAnsi="方正仿宋_GBK" w:eastAsia="方正仿宋_GBK" w:cs="方正仿宋_GBK"/>
          <w:sz w:val="32"/>
          <w:szCs w:val="32"/>
        </w:rPr>
      </w:pPr>
    </w:p>
    <w:p>
      <w:pPr>
        <w:spacing w:line="360" w:lineRule="auto"/>
        <w:ind w:right="112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所采购产品为含税开票价格，并为一次性报价。</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所供产品规格及质量应达到国家标准。</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询价表格式</w:t>
      </w:r>
      <w:r>
        <w:rPr>
          <w:rFonts w:hint="eastAsia" w:ascii="微软雅黑" w:hAnsi="微软雅黑" w:eastAsia="微软雅黑" w:cs="微软雅黑"/>
          <w:b w:val="0"/>
          <w:bCs w:val="0"/>
          <w:color w:val="auto"/>
          <w:sz w:val="36"/>
          <w:szCs w:val="36"/>
        </w:rPr>
        <w:t>：</w:t>
      </w:r>
      <w:r>
        <w:rPr>
          <w:rFonts w:hint="eastAsia" w:ascii="微软雅黑" w:hAnsi="微软雅黑" w:eastAsia="微软雅黑" w:cs="微软雅黑"/>
          <w:b/>
          <w:bCs/>
          <w:color w:val="FF0000"/>
          <w:sz w:val="28"/>
          <w:szCs w:val="28"/>
        </w:rPr>
        <w:t>加密盖章扫描件PDF版。</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本项目不收取比选保证金</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lang w:val="en-US" w:eastAsia="zh-CN"/>
        </w:rPr>
        <w:t>招标方式：询价招标（最低价中标法）</w:t>
      </w:r>
    </w:p>
    <w:p>
      <w:pPr>
        <w:numPr>
          <w:ilvl w:val="0"/>
          <w:numId w:val="3"/>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 xml:space="preserve">付款方式：验收后付款      </w:t>
      </w:r>
    </w:p>
    <w:p>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1" w:name="_Toc183582205"/>
      <w:bookmarkStart w:id="12" w:name="_Toc183682342"/>
      <w:bookmarkStart w:id="13" w:name="_Toc217446034"/>
      <w:bookmarkStart w:id="14" w:name="PO_默认文件内容_24"/>
      <w:r>
        <w:rPr>
          <w:rFonts w:hint="eastAsia" w:ascii="仿宋_GB2312" w:hAnsi="仿宋_GB2312" w:eastAsia="仿宋_GB2312" w:cs="仿宋_GB2312"/>
          <w:sz w:val="24"/>
          <w:szCs w:val="24"/>
        </w:rPr>
        <w:t>1.</w:t>
      </w:r>
      <w:bookmarkEnd w:id="11"/>
      <w:bookmarkEnd w:id="12"/>
      <w:r>
        <w:rPr>
          <w:rFonts w:hint="eastAsia" w:ascii="仿宋_GB2312" w:hAnsi="仿宋_GB2312" w:eastAsia="仿宋_GB2312" w:cs="仿宋_GB2312"/>
          <w:sz w:val="24"/>
          <w:szCs w:val="24"/>
        </w:rPr>
        <w:t xml:space="preserve"> 适用范围</w:t>
      </w:r>
      <w:bookmarkEnd w:id="13"/>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1.1 本比选文件仅适用于本次比选活动。</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15" w:name="_Toc183582206"/>
      <w:bookmarkStart w:id="16" w:name="_Toc183682343"/>
      <w:bookmarkStart w:id="17" w:name="_Toc217446035"/>
      <w:r>
        <w:rPr>
          <w:rFonts w:hint="eastAsia" w:ascii="仿宋_GB2312" w:hAnsi="仿宋_GB2312" w:eastAsia="仿宋_GB2312" w:cs="仿宋_GB2312"/>
          <w:bCs w:val="0"/>
          <w:sz w:val="24"/>
          <w:szCs w:val="24"/>
        </w:rPr>
        <w:t xml:space="preserve">2. </w:t>
      </w:r>
      <w:bookmarkEnd w:id="15"/>
      <w:bookmarkEnd w:id="16"/>
      <w:bookmarkEnd w:id="17"/>
      <w:r>
        <w:rPr>
          <w:rFonts w:hint="eastAsia" w:ascii="仿宋_GB2312" w:hAnsi="仿宋_GB2312" w:eastAsia="仿宋_GB2312" w:cs="仿宋_GB2312"/>
          <w:bCs w:val="0"/>
          <w:sz w:val="24"/>
          <w:szCs w:val="24"/>
        </w:rPr>
        <w:t>有关定义</w:t>
      </w:r>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2.1 本次比选的主体是</w:t>
      </w:r>
      <w:bookmarkEnd w:id="14"/>
      <w:r>
        <w:rPr>
          <w:rFonts w:hint="eastAsia" w:ascii="仿宋_GB2312" w:hAnsi="仿宋_GB2312" w:eastAsia="仿宋_GB2312" w:cs="仿宋_GB2312"/>
          <w:sz w:val="24"/>
        </w:rPr>
        <w:t>成都汽车职业技术学校。</w:t>
      </w:r>
    </w:p>
    <w:p>
      <w:pPr>
        <w:tabs>
          <w:tab w:val="left" w:pos="7665"/>
        </w:tabs>
        <w:spacing w:after="0" w:line="580" w:lineRule="exact"/>
        <w:ind w:firstLine="480" w:firstLineChars="200"/>
        <w:contextualSpacing/>
        <w:jc w:val="left"/>
        <w:rPr>
          <w:rFonts w:ascii="仿宋_GB2312" w:hAnsi="仿宋_GB2312" w:eastAsia="仿宋_GB2312" w:cs="仿宋_GB2312"/>
          <w:sz w:val="24"/>
        </w:rPr>
      </w:pPr>
      <w:bookmarkStart w:id="18" w:name="PO_默认文件内容_35"/>
      <w:r>
        <w:rPr>
          <w:rFonts w:hint="eastAsia" w:ascii="仿宋_GB2312" w:hAnsi="仿宋_GB2312" w:eastAsia="仿宋_GB2312" w:cs="仿宋_GB2312"/>
          <w:sz w:val="24"/>
        </w:rPr>
        <w:t>2.2 “投标人”系指参加比选活动的投标人。</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9" w:name="_Toc183682344"/>
      <w:bookmarkStart w:id="20" w:name="_Toc183582207"/>
      <w:bookmarkStart w:id="21" w:name="_Toc217390843"/>
      <w:bookmarkStart w:id="22" w:name="_Toc217446036"/>
      <w:r>
        <w:rPr>
          <w:rFonts w:hint="eastAsia" w:ascii="仿宋_GB2312" w:hAnsi="仿宋_GB2312" w:eastAsia="仿宋_GB2312" w:cs="仿宋_GB2312"/>
          <w:sz w:val="24"/>
          <w:szCs w:val="24"/>
        </w:rPr>
        <w:t>3. 合格的</w:t>
      </w:r>
      <w:bookmarkEnd w:id="19"/>
      <w:bookmarkEnd w:id="20"/>
      <w:bookmarkEnd w:id="21"/>
      <w:bookmarkEnd w:id="22"/>
      <w:r>
        <w:rPr>
          <w:rFonts w:hint="eastAsia" w:ascii="仿宋_GB2312" w:hAnsi="仿宋_GB2312" w:eastAsia="仿宋_GB2312" w:cs="仿宋_GB2312"/>
          <w:sz w:val="24"/>
          <w:szCs w:val="24"/>
        </w:rPr>
        <w:t>投标人</w:t>
      </w:r>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合格的投标人应具备以下条件：符合本比选文件-第一章“比选公告”相关规定。</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23" w:name="_Toc183682345"/>
      <w:bookmarkStart w:id="24" w:name="_Toc217446037"/>
      <w:bookmarkStart w:id="25" w:name="_Toc183582208"/>
      <w:r>
        <w:rPr>
          <w:rFonts w:hint="eastAsia" w:ascii="仿宋_GB2312" w:hAnsi="仿宋_GB2312" w:eastAsia="仿宋_GB2312" w:cs="仿宋_GB2312"/>
          <w:sz w:val="24"/>
          <w:szCs w:val="24"/>
        </w:rPr>
        <w:t>4. 比选费用</w:t>
      </w:r>
      <w:bookmarkEnd w:id="23"/>
      <w:bookmarkEnd w:id="24"/>
      <w:bookmarkEnd w:id="25"/>
    </w:p>
    <w:p>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投标人参加本次比选活动的有关费用由投标人自行承担。</w:t>
      </w:r>
    </w:p>
    <w:p>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企业负责人为同一人或者公司法定代表人为同一人或者存在相同控股股东或者存在直接控股、管理关系的不同投标人，可以参加本次比选活动，但不得参加同一竞争报价或随机抽取项目的竞争。</w:t>
      </w:r>
    </w:p>
    <w:p>
      <w:pPr>
        <w:pStyle w:val="3"/>
        <w:spacing w:before="0" w:after="0" w:line="580" w:lineRule="exact"/>
        <w:contextualSpacing/>
        <w:jc w:val="center"/>
        <w:rPr>
          <w:rFonts w:ascii="仿宋_GB2312" w:hAnsi="仿宋_GB2312" w:eastAsia="仿宋_GB2312" w:cs="仿宋_GB2312"/>
          <w:b w:val="0"/>
          <w:bCs w:val="0"/>
        </w:rPr>
      </w:pPr>
      <w:bookmarkStart w:id="26" w:name="_Toc89075875"/>
      <w:bookmarkStart w:id="27" w:name="_Toc217446038"/>
      <w:bookmarkStart w:id="28" w:name="_Toc183682346"/>
      <w:bookmarkStart w:id="29" w:name="_Toc183582209"/>
      <w:bookmarkStart w:id="30" w:name="_Toc77400779"/>
      <w:r>
        <w:rPr>
          <w:rFonts w:hint="eastAsia" w:ascii="仿宋_GB2312" w:hAnsi="仿宋_GB2312" w:eastAsia="仿宋_GB2312" w:cs="仿宋_GB2312"/>
          <w:b w:val="0"/>
          <w:bCs w:val="0"/>
        </w:rPr>
        <w:t>三、</w:t>
      </w:r>
      <w:bookmarkEnd w:id="26"/>
      <w:bookmarkEnd w:id="27"/>
      <w:bookmarkEnd w:id="28"/>
      <w:bookmarkEnd w:id="29"/>
      <w:bookmarkEnd w:id="30"/>
      <w:r>
        <w:rPr>
          <w:rFonts w:hint="eastAsia" w:ascii="仿宋_GB2312" w:hAnsi="仿宋_GB2312" w:eastAsia="仿宋_GB2312" w:cs="仿宋_GB2312"/>
          <w:b w:val="0"/>
          <w:bCs w:val="0"/>
        </w:rPr>
        <w:t>比选文件</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31" w:name="_Toc183582210"/>
      <w:bookmarkStart w:id="32" w:name="_Toc217446039"/>
      <w:bookmarkStart w:id="33" w:name="_Toc183682347"/>
      <w:r>
        <w:rPr>
          <w:rFonts w:hint="eastAsia" w:ascii="仿宋_GB2312" w:hAnsi="仿宋_GB2312" w:eastAsia="仿宋_GB2312" w:cs="仿宋_GB2312"/>
          <w:sz w:val="24"/>
          <w:szCs w:val="24"/>
        </w:rPr>
        <w:t>6．比选文件的构成</w:t>
      </w:r>
      <w:bookmarkEnd w:id="31"/>
      <w:bookmarkEnd w:id="32"/>
      <w:bookmarkEnd w:id="33"/>
    </w:p>
    <w:p>
      <w:pPr>
        <w:tabs>
          <w:tab w:val="left" w:pos="7665"/>
        </w:tabs>
        <w:spacing w:after="0" w:line="580" w:lineRule="exact"/>
        <w:ind w:firstLine="480" w:firstLineChars="200"/>
        <w:contextualSpacing/>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比选文件是投标人准备投标文件和参加本次</w:t>
      </w:r>
      <w:r>
        <w:rPr>
          <w:rFonts w:hint="eastAsia" w:ascii="仿宋_GB2312" w:hAnsi="仿宋_GB2312" w:eastAsia="仿宋_GB2312" w:cs="仿宋_GB2312"/>
          <w:sz w:val="24"/>
        </w:rPr>
        <w:t>比选活动</w:t>
      </w:r>
      <w:r>
        <w:rPr>
          <w:rFonts w:hint="eastAsia" w:ascii="仿宋_GB2312" w:hAnsi="仿宋_GB2312" w:eastAsia="仿宋_GB2312" w:cs="仿宋_GB2312"/>
          <w:kern w:val="0"/>
          <w:sz w:val="24"/>
        </w:rPr>
        <w:t>的依据，同时也是资格审查的重要依据，具有准法律文件性质。比选文件用以阐明项目所需的资质及服务要求、</w:t>
      </w:r>
      <w:r>
        <w:rPr>
          <w:rFonts w:hint="eastAsia" w:ascii="仿宋_GB2312" w:hAnsi="仿宋_GB2312" w:eastAsia="仿宋_GB2312" w:cs="仿宋_GB2312"/>
          <w:sz w:val="24"/>
        </w:rPr>
        <w:t>竞争报价</w:t>
      </w:r>
      <w:r>
        <w:rPr>
          <w:rFonts w:hint="eastAsia" w:ascii="仿宋_GB2312" w:hAnsi="仿宋_GB2312" w:eastAsia="仿宋_GB2312" w:cs="仿宋_GB2312"/>
          <w:kern w:val="0"/>
          <w:sz w:val="24"/>
        </w:rPr>
        <w:t>（或随机抽取）业务规则及流程、比选程序、有关规定和注意事项以及</w:t>
      </w:r>
      <w:r>
        <w:rPr>
          <w:rFonts w:hint="eastAsia" w:ascii="仿宋_GB2312" w:hAnsi="仿宋_GB2312" w:eastAsia="仿宋_GB2312" w:cs="仿宋_GB2312"/>
          <w:kern w:val="0"/>
          <w:sz w:val="24"/>
          <w:highlight w:val="yellow"/>
          <w:u w:val="single"/>
        </w:rPr>
        <w:t>《成都汽车职业技术学校耗材采购项目》</w:t>
      </w:r>
      <w:r>
        <w:rPr>
          <w:rFonts w:hint="eastAsia" w:ascii="仿宋_GB2312" w:hAnsi="仿宋_GB2312" w:eastAsia="仿宋_GB2312" w:cs="仿宋_GB2312"/>
          <w:kern w:val="0"/>
          <w:sz w:val="24"/>
        </w:rPr>
        <w:t>主要条款等。本比选文件包括以下内容：</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kern w:val="0"/>
          <w:sz w:val="24"/>
        </w:rPr>
        <w:t>（一）比选公告</w:t>
      </w:r>
      <w:r>
        <w:rPr>
          <w:rFonts w:hint="eastAsia" w:ascii="仿宋_GB2312" w:hAnsi="仿宋_GB2312" w:eastAsia="仿宋_GB2312" w:cs="仿宋_GB2312"/>
          <w:sz w:val="24"/>
        </w:rPr>
        <w:t>；</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（二）投标人须知；</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（三）投标文件格式；</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（四）资格审查；</w:t>
      </w:r>
    </w:p>
    <w:p>
      <w:pPr>
        <w:tabs>
          <w:tab w:val="left" w:pos="720"/>
        </w:tabs>
        <w:spacing w:after="0" w:line="580" w:lineRule="exact"/>
        <w:ind w:firstLine="480" w:firstLineChars="200"/>
        <w:contextualSpacing/>
        <w:jc w:val="left"/>
        <w:rPr>
          <w:rFonts w:ascii="仿宋_GB2312" w:hAnsi="仿宋_GB2312" w:eastAsia="仿宋_GB2312" w:cs="仿宋_GB2312"/>
          <w:b/>
          <w:sz w:val="24"/>
        </w:rPr>
      </w:pPr>
      <w:r>
        <w:rPr>
          <w:rFonts w:hint="eastAsia" w:ascii="仿宋_GB2312" w:hAnsi="仿宋_GB2312" w:eastAsia="仿宋_GB2312" w:cs="仿宋_GB2312"/>
          <w:sz w:val="24"/>
        </w:rPr>
        <w:t>（五）合同模板。</w:t>
      </w:r>
      <w:bookmarkStart w:id="34" w:name="_Toc183582211"/>
      <w:bookmarkStart w:id="35" w:name="_Toc183682348"/>
      <w:bookmarkStart w:id="36" w:name="_Toc217446040"/>
    </w:p>
    <w:p>
      <w:pPr>
        <w:tabs>
          <w:tab w:val="left" w:pos="720"/>
        </w:tabs>
        <w:spacing w:after="0" w:line="580" w:lineRule="exact"/>
        <w:ind w:firstLine="482" w:firstLineChars="200"/>
        <w:contextualSpacing/>
        <w:jc w:val="left"/>
        <w:rPr>
          <w:rFonts w:ascii="仿宋_GB2312" w:hAnsi="仿宋_GB2312" w:eastAsia="仿宋_GB2312" w:cs="仿宋_GB2312"/>
          <w:sz w:val="24"/>
        </w:rPr>
      </w:pPr>
      <w:r>
        <w:rPr>
          <w:rFonts w:hint="eastAsia" w:ascii="仿宋_GB2312" w:hAnsi="仿宋_GB2312" w:eastAsia="仿宋_GB2312" w:cs="仿宋_GB2312"/>
          <w:b/>
          <w:sz w:val="24"/>
        </w:rPr>
        <w:t>7. 比选文件的澄清</w:t>
      </w:r>
      <w:bookmarkEnd w:id="34"/>
      <w:bookmarkEnd w:id="35"/>
      <w:r>
        <w:rPr>
          <w:rFonts w:hint="eastAsia" w:ascii="仿宋_GB2312" w:hAnsi="仿宋_GB2312" w:eastAsia="仿宋_GB2312" w:cs="仿宋_GB2312"/>
          <w:b/>
          <w:sz w:val="24"/>
        </w:rPr>
        <w:t>和修改</w:t>
      </w:r>
      <w:bookmarkEnd w:id="36"/>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7.1比选主体可以对比选文件进行澄清或者修改。</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pPr>
        <w:tabs>
          <w:tab w:val="left" w:pos="7665"/>
        </w:tabs>
        <w:spacing w:after="0" w:line="580" w:lineRule="exact"/>
        <w:ind w:firstLine="48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24"/>
        </w:rPr>
        <w:t>7.4 在投标文件递交截止时间前，投标人可以对所递交的投标文件进行补充、修改或者撤回，并书面通知比选主体（成都汽车职业技术学校）。补充、修改的内容应当按照比选文件要求签署、盖章、</w:t>
      </w:r>
      <w:r>
        <w:rPr>
          <w:rFonts w:hint="eastAsia" w:ascii="仿宋_GB2312" w:hAnsi="仿宋_GB2312" w:eastAsia="仿宋_GB2312" w:cs="仿宋_GB2312"/>
          <w:sz w:val="24"/>
          <w:lang w:val="en-US" w:eastAsia="zh-CN"/>
        </w:rPr>
        <w:t>加密</w:t>
      </w:r>
      <w:r>
        <w:rPr>
          <w:rFonts w:hint="eastAsia" w:ascii="仿宋_GB2312" w:hAnsi="仿宋_GB2312" w:eastAsia="仿宋_GB2312" w:cs="仿宋_GB2312"/>
          <w:sz w:val="24"/>
        </w:rPr>
        <w:t>后，作为投标文件的组成部分。</w:t>
      </w:r>
    </w:p>
    <w:p>
      <w:pPr>
        <w:pStyle w:val="3"/>
        <w:spacing w:before="0" w:after="0" w:line="580" w:lineRule="exact"/>
        <w:contextualSpacing/>
        <w:jc w:val="center"/>
        <w:rPr>
          <w:rFonts w:ascii="仿宋_GB2312" w:hAnsi="仿宋_GB2312" w:eastAsia="仿宋_GB2312" w:cs="仿宋_GB2312"/>
          <w:b w:val="0"/>
          <w:bCs w:val="0"/>
        </w:rPr>
      </w:pPr>
      <w:bookmarkStart w:id="37" w:name="_Toc183582214"/>
      <w:bookmarkStart w:id="38" w:name="_Toc89075876"/>
      <w:bookmarkStart w:id="39" w:name="_Toc77400780"/>
      <w:bookmarkStart w:id="40" w:name="_Toc183682351"/>
      <w:bookmarkStart w:id="41" w:name="_Toc217446042"/>
      <w:r>
        <w:rPr>
          <w:rFonts w:hint="eastAsia" w:ascii="仿宋_GB2312" w:hAnsi="仿宋_GB2312" w:eastAsia="仿宋_GB2312" w:cs="仿宋_GB2312"/>
          <w:b w:val="0"/>
          <w:bCs w:val="0"/>
        </w:rPr>
        <w:t>四、投标文件</w:t>
      </w:r>
      <w:bookmarkEnd w:id="37"/>
      <w:bookmarkEnd w:id="38"/>
      <w:bookmarkEnd w:id="39"/>
      <w:bookmarkEnd w:id="40"/>
      <w:bookmarkEnd w:id="41"/>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42" w:name="_Toc308164798"/>
      <w:bookmarkStart w:id="43" w:name="_Toc217446048"/>
      <w:bookmarkStart w:id="44" w:name="_Toc183682354"/>
      <w:bookmarkStart w:id="45" w:name="_Toc183582217"/>
      <w:r>
        <w:rPr>
          <w:rFonts w:hint="eastAsia" w:ascii="仿宋_GB2312" w:hAnsi="仿宋_GB2312" w:eastAsia="仿宋_GB2312" w:cs="仿宋_GB2312"/>
          <w:sz w:val="24"/>
          <w:szCs w:val="24"/>
        </w:rPr>
        <w:t>8．投标文件的组成</w:t>
      </w:r>
      <w:bookmarkEnd w:id="42"/>
      <w:bookmarkEnd w:id="43"/>
      <w:bookmarkEnd w:id="44"/>
      <w:bookmarkEnd w:id="45"/>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投标人应按照比选文件的规定和要求编制投标文件。投标人编写的投标文件应包括但不限于下列部分：</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一、法定代表人授权书</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二、报价函</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三、公司相关资料</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四、类似业绩</w:t>
      </w:r>
    </w:p>
    <w:p>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五、承诺函</w:t>
      </w:r>
    </w:p>
    <w:p>
      <w:pPr>
        <w:pStyle w:val="4"/>
        <w:tabs>
          <w:tab w:val="left" w:pos="3480"/>
        </w:tabs>
        <w:spacing w:before="0" w:after="0" w:line="580" w:lineRule="exact"/>
        <w:ind w:firstLine="482" w:firstLineChars="200"/>
        <w:contextualSpacing/>
        <w:jc w:val="left"/>
        <w:rPr>
          <w:rFonts w:ascii="仿宋_GB2312" w:hAnsi="仿宋_GB2312" w:eastAsia="仿宋_GB2312" w:cs="仿宋_GB2312"/>
          <w:sz w:val="24"/>
          <w:szCs w:val="24"/>
        </w:rPr>
      </w:pPr>
      <w:bookmarkStart w:id="46" w:name="_Toc183682355"/>
      <w:bookmarkStart w:id="47" w:name="_Toc183582218"/>
      <w:bookmarkStart w:id="48" w:name="_Toc308164799"/>
      <w:bookmarkStart w:id="49" w:name="_Toc217446049"/>
      <w:r>
        <w:rPr>
          <w:rFonts w:hint="eastAsia" w:ascii="仿宋_GB2312" w:hAnsi="仿宋_GB2312" w:eastAsia="仿宋_GB2312" w:cs="仿宋_GB2312"/>
          <w:sz w:val="24"/>
          <w:szCs w:val="24"/>
        </w:rPr>
        <w:t>9．投标文件格式</w:t>
      </w:r>
      <w:bookmarkEnd w:id="46"/>
      <w:bookmarkEnd w:id="47"/>
      <w:bookmarkEnd w:id="48"/>
      <w:bookmarkEnd w:id="49"/>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9.1 投标人应执行投标文件第三章的规定要求。第三章格式中“注”的内容，投标人可自行决定是否保留在投标文件中，未保留的视为完全接受“注”的内容。</w:t>
      </w:r>
    </w:p>
    <w:p>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9.2 对于没有格式要求的内容由投标人自行编写。</w:t>
      </w:r>
    </w:p>
    <w:p>
      <w:pPr>
        <w:spacing w:after="0" w:line="580" w:lineRule="exact"/>
        <w:ind w:firstLine="482"/>
        <w:contextualSpacing/>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bookmarkStart w:id="50" w:name="_Toc308164802"/>
      <w:bookmarkStart w:id="51" w:name="_Toc183582225"/>
      <w:bookmarkStart w:id="52" w:name="_Toc183682362"/>
      <w:bookmarkStart w:id="53" w:name="_Toc217446052"/>
      <w:r>
        <w:rPr>
          <w:rFonts w:hint="eastAsia" w:ascii="仿宋_GB2312" w:hAnsi="仿宋_GB2312" w:eastAsia="仿宋_GB2312" w:cs="仿宋_GB2312"/>
          <w:b/>
          <w:bCs/>
          <w:sz w:val="24"/>
        </w:rPr>
        <w:t>10．投标文件的印制和签署</w:t>
      </w:r>
      <w:bookmarkEnd w:id="50"/>
      <w:bookmarkEnd w:id="51"/>
      <w:bookmarkEnd w:id="52"/>
      <w:bookmarkEnd w:id="53"/>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10.1投标文件正本1份，须在封面上清楚地标明项目名称、投标人名称。</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10.2投标文件需打印或用不褪色、不变质的墨水书写。</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10.4投标文件的打印和书写应清楚工整，任何行间插字、涂改或增删，必须由投标人的企业法人或企业主要负责人或其授权代表签字。</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10.5投标文件应当采取胶装方式装订成册，不得散装或者活页装订。</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10.6投标文件应根据比选文件的要求制作，签署、盖章和内容应完整。投标文件统一用A4幅面纸印制，逐页编码。</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54" w:name="_Toc89075877"/>
      <w:bookmarkStart w:id="55" w:name="_Toc183582226"/>
      <w:bookmarkStart w:id="56" w:name="_Toc77400781"/>
      <w:bookmarkStart w:id="57" w:name="_Toc183682363"/>
      <w:bookmarkStart w:id="58" w:name="_Toc308164803"/>
      <w:bookmarkStart w:id="59" w:name="_Toc21744605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4"/>
      <w:bookmarkEnd w:id="55"/>
      <w:bookmarkEnd w:id="56"/>
      <w:bookmarkEnd w:id="57"/>
      <w:r>
        <w:rPr>
          <w:rFonts w:hint="eastAsia" w:ascii="仿宋_GB2312" w:hAnsi="仿宋_GB2312" w:eastAsia="仿宋_GB2312" w:cs="仿宋_GB2312"/>
          <w:sz w:val="24"/>
          <w:szCs w:val="24"/>
        </w:rPr>
        <w:t>注</w:t>
      </w:r>
      <w:bookmarkEnd w:id="58"/>
      <w:bookmarkEnd w:id="59"/>
    </w:p>
    <w:p>
      <w:pPr>
        <w:tabs>
          <w:tab w:val="left" w:pos="1080"/>
        </w:tabs>
        <w:spacing w:after="0" w:line="580" w:lineRule="exact"/>
        <w:ind w:firstLine="460" w:firstLineChars="192"/>
        <w:contextualSpacing/>
        <w:jc w:val="left"/>
        <w:rPr>
          <w:rFonts w:ascii="仿宋_GB2312" w:hAnsi="仿宋_GB2312" w:eastAsia="仿宋_GB2312" w:cs="仿宋_GB2312"/>
          <w:sz w:val="24"/>
          <w:highlight w:val="yellow"/>
          <w:u w:val="single"/>
        </w:rPr>
      </w:pPr>
      <w:bookmarkStart w:id="60" w:name="_Toc183682364"/>
      <w:bookmarkStart w:id="61" w:name="_Toc183582227"/>
      <w:bookmarkStart w:id="62" w:name="_Toc217446054"/>
      <w:bookmarkStart w:id="63" w:name="_Toc308164804"/>
      <w:r>
        <w:rPr>
          <w:rFonts w:hint="eastAsia" w:ascii="仿宋_GB2312" w:hAnsi="仿宋_GB2312" w:eastAsia="仿宋_GB2312" w:cs="仿宋_GB2312"/>
          <w:sz w:val="24"/>
          <w:highlight w:val="yellow"/>
          <w:u w:val="single"/>
        </w:rPr>
        <w:t>本项目投标文件</w:t>
      </w:r>
      <w:r>
        <w:rPr>
          <w:rFonts w:hint="eastAsia" w:ascii="仿宋_GB2312" w:hAnsi="仿宋_GB2312" w:eastAsia="仿宋_GB2312" w:cs="仿宋_GB2312"/>
          <w:sz w:val="24"/>
          <w:highlight w:val="yellow"/>
          <w:u w:val="single"/>
          <w:lang w:val="en-US" w:eastAsia="zh-CN"/>
        </w:rPr>
        <w:t>为</w:t>
      </w:r>
      <w:r>
        <w:rPr>
          <w:rFonts w:hint="eastAsia" w:ascii="仿宋_GB2312" w:hAnsi="仿宋_GB2312" w:eastAsia="仿宋_GB2312" w:cs="仿宋_GB2312"/>
          <w:sz w:val="24"/>
          <w:highlight w:val="yellow"/>
          <w:u w:val="single"/>
        </w:rPr>
        <w:t>加密盖章扫描件PDF版。</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0"/>
      <w:bookmarkEnd w:id="61"/>
      <w:r>
        <w:rPr>
          <w:rFonts w:hint="eastAsia" w:ascii="仿宋_GB2312" w:hAnsi="仿宋_GB2312" w:eastAsia="仿宋_GB2312" w:cs="仿宋_GB2312"/>
          <w:bCs w:val="0"/>
          <w:sz w:val="24"/>
          <w:szCs w:val="24"/>
        </w:rPr>
        <w:t>递交</w:t>
      </w:r>
      <w:bookmarkEnd w:id="62"/>
      <w:bookmarkEnd w:id="63"/>
    </w:p>
    <w:p>
      <w:pPr>
        <w:spacing w:after="0" w:line="580" w:lineRule="exact"/>
        <w:ind w:firstLine="480" w:firstLineChars="200"/>
        <w:contextualSpacing/>
        <w:jc w:val="left"/>
        <w:rPr>
          <w:rFonts w:ascii="仿宋_GB2312" w:hAnsi="仿宋_GB2312" w:eastAsia="仿宋_GB2312" w:cs="仿宋_GB2312"/>
          <w:color w:val="FF0000"/>
          <w:sz w:val="24"/>
        </w:rPr>
      </w:pPr>
      <w:r>
        <w:rPr>
          <w:rFonts w:hint="eastAsia" w:ascii="仿宋_GB2312" w:hAnsi="仿宋_GB2312" w:eastAsia="仿宋_GB2312" w:cs="仿宋_GB2312"/>
          <w:sz w:val="24"/>
        </w:rPr>
        <w:t>12.1 投标人应在比选文件规定的投标文件递交截止时间前，将投标文件按比选文件的规定密封后送达指定地点。投标文件递交截止时间以后送达的文件将不予接收。</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12.2递交投标文件时，报名投标人名称和比选文件的文号应当与投标人名称和比选文件的文号一致。</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12.3本次比选活动不接收邮寄的投标文件。</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64" w:name="_Toc183582228"/>
      <w:bookmarkStart w:id="65" w:name="_Toc183682365"/>
      <w:bookmarkStart w:id="66" w:name="_Toc217446055"/>
      <w:r>
        <w:rPr>
          <w:rFonts w:hint="eastAsia" w:ascii="仿宋_GB2312" w:hAnsi="仿宋_GB2312" w:eastAsia="仿宋_GB2312" w:cs="仿宋_GB2312"/>
          <w:bCs w:val="0"/>
          <w:sz w:val="24"/>
          <w:szCs w:val="24"/>
        </w:rPr>
        <w:t>13．投标文件的补充、修改或撤</w:t>
      </w:r>
      <w:bookmarkEnd w:id="64"/>
      <w:bookmarkEnd w:id="65"/>
      <w:r>
        <w:rPr>
          <w:rFonts w:hint="eastAsia" w:ascii="仿宋_GB2312" w:hAnsi="仿宋_GB2312" w:eastAsia="仿宋_GB2312" w:cs="仿宋_GB2312"/>
          <w:bCs w:val="0"/>
          <w:sz w:val="24"/>
          <w:szCs w:val="24"/>
        </w:rPr>
        <w:t>回</w:t>
      </w:r>
      <w:bookmarkEnd w:id="66"/>
    </w:p>
    <w:p>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13.1 投标人在递交投标文件后，可以补充、修改或撤回其投标文件，但必须在规定的截止时间前，以书面形式通知比选主体。</w:t>
      </w:r>
    </w:p>
    <w:p>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pPr>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13.3 在投标文件递交截止时间之后，投标人不得对其递交的投标文件做任何修改，撤回其投标文件的，将按照有关规定进行相应处理。</w:t>
      </w:r>
    </w:p>
    <w:p>
      <w:pPr>
        <w:pStyle w:val="3"/>
        <w:spacing w:before="0" w:after="0" w:line="580" w:lineRule="exact"/>
        <w:contextualSpacing/>
        <w:jc w:val="center"/>
        <w:rPr>
          <w:rFonts w:ascii="仿宋_GB2312" w:hAnsi="仿宋_GB2312" w:eastAsia="仿宋_GB2312" w:cs="仿宋_GB2312"/>
          <w:b w:val="0"/>
          <w:bCs w:val="0"/>
        </w:rPr>
      </w:pPr>
      <w:bookmarkStart w:id="67" w:name="_Toc217446056"/>
      <w:bookmarkStart w:id="68" w:name="_Toc89075878"/>
      <w:bookmarkStart w:id="69" w:name="_Toc183682368"/>
      <w:bookmarkStart w:id="70" w:name="_Toc308164805"/>
      <w:bookmarkStart w:id="71" w:name="_Toc77400782"/>
      <w:bookmarkStart w:id="72" w:name="_Toc183582231"/>
      <w:r>
        <w:rPr>
          <w:rFonts w:hint="eastAsia" w:ascii="仿宋_GB2312" w:hAnsi="仿宋_GB2312" w:eastAsia="仿宋_GB2312" w:cs="仿宋_GB2312"/>
          <w:b w:val="0"/>
          <w:bCs w:val="0"/>
        </w:rPr>
        <w:t>五、</w:t>
      </w:r>
      <w:bookmarkEnd w:id="67"/>
      <w:bookmarkEnd w:id="68"/>
      <w:bookmarkEnd w:id="69"/>
      <w:bookmarkEnd w:id="70"/>
      <w:bookmarkEnd w:id="71"/>
      <w:bookmarkEnd w:id="72"/>
      <w:r>
        <w:rPr>
          <w:rFonts w:hint="eastAsia" w:ascii="仿宋_GB2312" w:hAnsi="仿宋_GB2312" w:eastAsia="仿宋_GB2312" w:cs="仿宋_GB2312"/>
          <w:b w:val="0"/>
          <w:bCs w:val="0"/>
        </w:rPr>
        <w:t>比选流程</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73" w:name="_Toc308164806"/>
      <w:bookmarkStart w:id="74" w:name="_Toc183682369"/>
      <w:bookmarkStart w:id="75" w:name="_Toc183582232"/>
      <w:bookmarkStart w:id="76" w:name="_Toc217446057"/>
      <w:r>
        <w:rPr>
          <w:rFonts w:hint="eastAsia" w:ascii="仿宋_GB2312" w:hAnsi="仿宋_GB2312" w:eastAsia="仿宋_GB2312" w:cs="仿宋_GB2312"/>
          <w:bCs w:val="0"/>
          <w:sz w:val="24"/>
          <w:szCs w:val="24"/>
        </w:rPr>
        <w:t>14．</w:t>
      </w:r>
      <w:bookmarkEnd w:id="73"/>
      <w:bookmarkEnd w:id="74"/>
      <w:bookmarkEnd w:id="75"/>
      <w:bookmarkEnd w:id="76"/>
      <w:r>
        <w:rPr>
          <w:rFonts w:hint="eastAsia" w:ascii="仿宋_GB2312" w:hAnsi="仿宋_GB2312" w:eastAsia="仿宋_GB2312" w:cs="仿宋_GB2312"/>
          <w:bCs w:val="0"/>
          <w:sz w:val="24"/>
          <w:szCs w:val="24"/>
        </w:rPr>
        <w:t>审查程序</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14.1 投标人制作、递交“投标文件”</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14.2 审查“投标文件”</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成都汽车职业技术学校组建审查小组负责资格审查。</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14.3 比选结果公告</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评审结束后，结果将通过电话或邮件的方式通知投标人。</w:t>
      </w:r>
    </w:p>
    <w:p>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77" w:name="_Toc183682375"/>
      <w:bookmarkStart w:id="78" w:name="_Toc217446063"/>
      <w:bookmarkStart w:id="79" w:name="_Toc183582238"/>
      <w:bookmarkStart w:id="80" w:name="_Toc308164809"/>
      <w:r>
        <w:rPr>
          <w:rFonts w:hint="eastAsia" w:ascii="仿宋_GB2312" w:hAnsi="仿宋_GB2312" w:eastAsia="仿宋_GB2312" w:cs="仿宋_GB2312"/>
          <w:sz w:val="24"/>
          <w:szCs w:val="24"/>
        </w:rPr>
        <w:t>15．签订合同</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15.1中选投标人应在规定日期内与成都汽车职业技术学校签订</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highlight w:val="yellow"/>
          <w:u w:val="single"/>
        </w:rPr>
        <w:t>成都汽车职业技术学校耗材采购项目协议</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rPr>
        <w:t>。因入选投标人的原因逾期未与成都汽车职业技术学校签订</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highlight w:val="yellow"/>
          <w:u w:val="single"/>
        </w:rPr>
        <w:t>成都汽车职业技术学校耗材采购项目协议</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rPr>
        <w:t>，将视为放弃</w:t>
      </w:r>
      <w:bookmarkStart w:id="91" w:name="_GoBack"/>
      <w:bookmarkEnd w:id="91"/>
      <w:r>
        <w:rPr>
          <w:rFonts w:hint="eastAsia" w:ascii="仿宋_GB2312" w:hAnsi="仿宋_GB2312" w:eastAsia="仿宋_GB2312" w:cs="仿宋_GB2312"/>
          <w:sz w:val="24"/>
        </w:rPr>
        <w:t>中选资格，比选主体（成都汽车职业技术学校）有权取消其中选资格并将参照相关规定进行处理。</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15.2比选主体（成都汽车职业技术学校）不得向中选投标人提出任何不合理的要求，作为签订</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highlight w:val="yellow"/>
          <w:u w:val="single"/>
        </w:rPr>
        <w:t>成都汽车职业技术学校耗材采购项目协议同</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rPr>
        <w:t>的条件，不得与中选投标人私下订立背离比选文件、投标文件实质性内容的任何协议，所签订的</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highlight w:val="yellow"/>
          <w:u w:val="single"/>
        </w:rPr>
        <w:t>成都汽车职业技术学校耗材采购项目协议</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rPr>
        <w:t>不得对比选文件、投标文件作实质性修改。</w:t>
      </w:r>
    </w:p>
    <w:p>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 转包</w:t>
      </w:r>
    </w:p>
    <w:bookmarkEnd w:id="77"/>
    <w:bookmarkEnd w:id="78"/>
    <w:bookmarkEnd w:id="79"/>
    <w:bookmarkEnd w:id="80"/>
    <w:p>
      <w:pPr>
        <w:spacing w:after="0" w:line="580" w:lineRule="exact"/>
        <w:ind w:firstLine="480" w:firstLineChars="200"/>
        <w:contextualSpacing/>
        <w:jc w:val="left"/>
        <w:rPr>
          <w:rFonts w:ascii="仿宋_GB2312" w:hAnsi="仿宋_GB2312" w:eastAsia="仿宋_GB2312" w:cs="仿宋_GB2312"/>
          <w:sz w:val="24"/>
        </w:rPr>
      </w:pPr>
      <w:bookmarkStart w:id="81" w:name="_Toc217446083"/>
      <w:r>
        <w:rPr>
          <w:rFonts w:hint="eastAsia" w:ascii="仿宋_GB2312" w:hAnsi="仿宋_GB2312" w:eastAsia="仿宋_GB2312" w:cs="仿宋_GB2312"/>
          <w:sz w:val="24"/>
        </w:rPr>
        <w:t>严禁中选投标人将《</w:t>
      </w:r>
      <w:r>
        <w:rPr>
          <w:rFonts w:hint="eastAsia" w:ascii="仿宋_GB2312" w:hAnsi="仿宋_GB2312" w:eastAsia="仿宋_GB2312" w:cs="仿宋_GB2312"/>
          <w:sz w:val="24"/>
          <w:highlight w:val="yellow"/>
          <w:u w:val="single"/>
        </w:rPr>
        <w:t>成都汽车职业技术学校耗材采购项目协议</w:t>
      </w:r>
      <w:r>
        <w:rPr>
          <w:rFonts w:hint="eastAsia" w:ascii="仿宋_GB2312" w:hAnsi="仿宋_GB2312" w:eastAsia="仿宋_GB2312" w:cs="仿宋_GB2312"/>
          <w:sz w:val="24"/>
        </w:rPr>
        <w:t>》义务转包。转包是指中选投标人将</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highlight w:val="yellow"/>
          <w:u w:val="single"/>
        </w:rPr>
        <w:t>成都汽车职业技术学校耗材采购项目协议</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rPr>
        <w:t>义务转让给第三人，并退出现有合同当事人双方的权利义务关系，受让人（即第三人）成为合同另一方当事人的行为。</w:t>
      </w:r>
    </w:p>
    <w:p>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中选投标人转包的，视同拒绝履行</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highlight w:val="yellow"/>
          <w:u w:val="single"/>
        </w:rPr>
        <w:t>成都汽车职业技术学校耗材采购项目协议</w:t>
      </w:r>
      <w:r>
        <w:rPr>
          <w:rFonts w:hint="eastAsia" w:ascii="仿宋_GB2312" w:hAnsi="仿宋_GB2312" w:eastAsia="仿宋_GB2312" w:cs="仿宋_GB2312"/>
          <w:sz w:val="24"/>
          <w:highlight w:val="yellow"/>
        </w:rPr>
        <w:t>》</w:t>
      </w:r>
      <w:r>
        <w:rPr>
          <w:rFonts w:hint="eastAsia" w:ascii="仿宋_GB2312" w:hAnsi="仿宋_GB2312" w:eastAsia="仿宋_GB2312" w:cs="仿宋_GB2312"/>
          <w:sz w:val="24"/>
        </w:rPr>
        <w:t>义务，将依法追究法律责任。</w:t>
      </w:r>
    </w:p>
    <w:p>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本比选文件未尽事宜，按照有关法律、法规、规章、规范性文件规定执行。</w:t>
      </w:r>
    </w:p>
    <w:p>
      <w:pPr>
        <w:spacing w:line="400" w:lineRule="exact"/>
        <w:ind w:firstLine="480" w:firstLineChars="200"/>
        <w:jc w:val="left"/>
        <w:rPr>
          <w:rFonts w:ascii="仿宋_GB2312" w:hAnsi="仿宋_GB2312" w:eastAsia="仿宋_GB2312" w:cs="仿宋_GB2312"/>
          <w:kern w:val="0"/>
          <w:sz w:val="24"/>
        </w:rPr>
      </w:pPr>
    </w:p>
    <w:p>
      <w:pPr>
        <w:pStyle w:val="2"/>
        <w:spacing w:before="120" w:after="120" w:line="700" w:lineRule="exact"/>
        <w:jc w:val="center"/>
        <w:rPr>
          <w:rFonts w:ascii="仿宋_GB2312" w:hAnsi="仿宋_GB2312" w:eastAsia="仿宋_GB2312" w:cs="仿宋_GB2312"/>
          <w:b w:val="0"/>
        </w:rPr>
      </w:pPr>
      <w:bookmarkStart w:id="82" w:name="_Toc1368"/>
      <w:r>
        <w:rPr>
          <w:rFonts w:hint="eastAsia" w:ascii="仿宋_GB2312" w:hAnsi="仿宋_GB2312" w:eastAsia="仿宋_GB2312" w:cs="仿宋_GB2312"/>
          <w:b w:val="0"/>
        </w:rPr>
        <w:br w:type="page"/>
      </w:r>
      <w:bookmarkStart w:id="83" w:name="_Toc4701"/>
      <w:bookmarkStart w:id="84" w:name="_Toc25079259"/>
      <w:r>
        <w:rPr>
          <w:rFonts w:hint="eastAsia" w:ascii="仿宋_GB2312" w:hAnsi="仿宋_GB2312" w:eastAsia="仿宋_GB2312" w:cs="仿宋_GB2312"/>
          <w:b w:val="0"/>
        </w:rPr>
        <w:t xml:space="preserve">第三章  </w:t>
      </w:r>
      <w:bookmarkEnd w:id="82"/>
      <w:bookmarkStart w:id="85" w:name="_Toc308164821"/>
      <w:bookmarkStart w:id="86" w:name="_Toc217446082"/>
      <w:r>
        <w:rPr>
          <w:rFonts w:hint="eastAsia" w:ascii="仿宋_GB2312" w:hAnsi="仿宋_GB2312" w:eastAsia="仿宋_GB2312" w:cs="仿宋_GB2312"/>
          <w:b w:val="0"/>
        </w:rPr>
        <w:t>投标文件格式</w:t>
      </w:r>
      <w:bookmarkEnd w:id="83"/>
      <w:bookmarkEnd w:id="84"/>
    </w:p>
    <w:p>
      <w:pPr>
        <w:widowControl/>
        <w:spacing w:line="580" w:lineRule="exact"/>
        <w:jc w:val="center"/>
        <w:outlineLvl w:val="1"/>
        <w:rPr>
          <w:rFonts w:ascii="仿宋_GB2312" w:hAnsi="仿宋_GB2312" w:eastAsia="仿宋_GB2312" w:cs="仿宋_GB2312"/>
          <w:b/>
          <w:sz w:val="32"/>
          <w:szCs w:val="32"/>
        </w:rPr>
      </w:pP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spacing w:line="400" w:lineRule="exact"/>
        <w:ind w:firstLine="562" w:firstLineChars="200"/>
        <w:jc w:val="left"/>
        <w:rPr>
          <w:rFonts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1"/>
      <w:bookmarkEnd w:id="85"/>
      <w:bookmarkEnd w:id="86"/>
      <w:bookmarkStart w:id="87" w:name="_Toc1588"/>
    </w:p>
    <w:p>
      <w:pPr>
        <w:jc w:val="center"/>
        <w:rPr>
          <w:rFonts w:ascii="楷体" w:hAnsi="楷体" w:eastAsia="楷体" w:cs="楷体"/>
          <w:sz w:val="36"/>
          <w:szCs w:val="36"/>
        </w:rPr>
      </w:pPr>
      <w:r>
        <w:rPr>
          <w:rFonts w:hint="eastAsia" w:ascii="楷体" w:hAnsi="楷体" w:eastAsia="楷体" w:cs="楷体"/>
          <w:b/>
          <w:bCs/>
          <w:sz w:val="48"/>
          <w:szCs w:val="48"/>
        </w:rPr>
        <w:t>成都汽车职业技术学校耗材采购项目</w:t>
      </w:r>
    </w:p>
    <w:p>
      <w:pPr>
        <w:jc w:val="center"/>
        <w:rPr>
          <w:rFonts w:ascii="楷体" w:hAnsi="楷体" w:eastAsia="楷体" w:cs="楷体"/>
          <w:sz w:val="36"/>
          <w:szCs w:val="36"/>
        </w:rPr>
      </w:pPr>
    </w:p>
    <w:p>
      <w:pPr>
        <w:jc w:val="center"/>
        <w:rPr>
          <w:rFonts w:ascii="楷体" w:hAnsi="楷体" w:eastAsia="楷体" w:cs="楷体"/>
          <w:sz w:val="36"/>
          <w:szCs w:val="36"/>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为我方代理人。代理人根据授权，以我方名义参成都汽车职业技术学校基建维修项目的</w:t>
      </w:r>
      <w:r>
        <w:rPr>
          <w:rFonts w:hint="eastAsia" w:ascii="楷体" w:hAnsi="楷体" w:eastAsia="楷体" w:cs="楷体"/>
          <w:sz w:val="30"/>
          <w:szCs w:val="30"/>
          <w:highlight w:val="yellow"/>
          <w:u w:val="single"/>
        </w:rPr>
        <w:t>成都汽车职业技术学校耗材采购项目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35"/>
        <w:rPr>
          <w:rFonts w:ascii="楷体" w:hAnsi="楷体" w:eastAsia="楷体" w:cs="楷体"/>
          <w:sz w:val="36"/>
          <w:szCs w:val="36"/>
        </w:rPr>
      </w:pPr>
    </w:p>
    <w:p>
      <w:pPr>
        <w:pStyle w:val="35"/>
      </w:pPr>
    </w:p>
    <w:p>
      <w:pPr>
        <w:ind w:right="1120"/>
        <w:rPr>
          <w:rFonts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pPr>
        <w:ind w:firstLine="560" w:firstLineChars="200"/>
        <w:jc w:val="left"/>
        <w:rPr>
          <w:rFonts w:ascii="仿宋_GB2312" w:hAnsi="仿宋_GB2312" w:eastAsia="仿宋_GB2312" w:cs="Arial"/>
          <w:sz w:val="28"/>
          <w:szCs w:val="30"/>
        </w:rPr>
      </w:pPr>
    </w:p>
    <w:p>
      <w:pPr>
        <w:spacing w:line="700" w:lineRule="exact"/>
        <w:jc w:val="center"/>
        <w:rPr>
          <w:rFonts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pPr>
        <w:jc w:val="center"/>
        <w:rPr>
          <w:rFonts w:ascii="方正小标宋简体" w:hAnsi="仿宋_GB2312" w:eastAsia="方正小标宋简体" w:cs="Arial"/>
          <w:bCs/>
          <w:sz w:val="44"/>
          <w:szCs w:val="44"/>
        </w:rPr>
      </w:pPr>
    </w:p>
    <w:p>
      <w:pPr>
        <w:jc w:val="center"/>
        <w:rPr>
          <w:rFonts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p>
      <w:pPr>
        <w:ind w:firstLine="560" w:firstLineChars="200"/>
        <w:rPr>
          <w:rFonts w:ascii="仿宋_GB2312" w:hAnsi="仿宋_GB2312" w:eastAsia="仿宋_GB2312" w:cs="Arial"/>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tblPrEx>
          <w:tblCellMar>
            <w:top w:w="0" w:type="dxa"/>
            <w:left w:w="108" w:type="dxa"/>
            <w:bottom w:w="0" w:type="dxa"/>
            <w:right w:w="108" w:type="dxa"/>
          </w:tblCellMar>
        </w:tblPrEx>
        <w:trPr>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trHeight w:val="858" w:hRule="atLeast"/>
          <w:jc w:val="center"/>
        </w:trPr>
        <w:tc>
          <w:tcPr>
            <w:tcW w:w="2316" w:type="dxa"/>
            <w:vAlign w:val="center"/>
          </w:tcPr>
          <w:p>
            <w:pPr>
              <w:jc w:val="distribute"/>
              <w:rPr>
                <w:rFonts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vAlign w:val="center"/>
          </w:tcPr>
          <w:p>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bl>
    <w:p>
      <w:pPr>
        <w:widowControl/>
        <w:rPr>
          <w:rFonts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pPr>
        <w:widowControl/>
        <w:ind w:firstLine="643" w:firstLineChars="200"/>
        <w:jc w:val="center"/>
        <w:rPr>
          <w:rFonts w:ascii="仿宋_GB2312" w:hAnsi="仿宋_GB2312" w:eastAsia="仿宋_GB2312" w:cs="宋体"/>
          <w:b/>
          <w:bCs/>
          <w:kern w:val="0"/>
          <w:sz w:val="32"/>
          <w:szCs w:val="32"/>
        </w:rPr>
      </w:pPr>
    </w:p>
    <w:p>
      <w:pPr>
        <w:widowControl/>
        <w:jc w:val="center"/>
        <w:rPr>
          <w:rFonts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pPr>
        <w:ind w:right="26"/>
        <w:rPr>
          <w:rFonts w:ascii="仿宋_GB2312" w:hAnsi="仿宋_GB2312" w:eastAsia="仿宋_GB2312" w:cs="Arial"/>
          <w:sz w:val="32"/>
          <w:szCs w:val="32"/>
        </w:rPr>
      </w:pPr>
      <w:r>
        <w:rPr>
          <w:rFonts w:hint="eastAsia" w:ascii="仿宋_GB2312" w:hAnsi="仿宋_GB2312" w:eastAsia="仿宋_GB2312" w:cs="Arial"/>
          <w:sz w:val="32"/>
          <w:szCs w:val="32"/>
        </w:rPr>
        <w:t>采购项目编号:</w:t>
      </w:r>
    </w:p>
    <w:p>
      <w:pPr>
        <w:rPr>
          <w:rFonts w:ascii="仿宋_GB2312" w:hAnsi="仿宋_GB2312" w:eastAsia="仿宋_GB2312" w:cs="Arial"/>
          <w:b/>
          <w:sz w:val="32"/>
          <w:szCs w:val="32"/>
        </w:rPr>
      </w:pPr>
    </w:p>
    <w:p>
      <w:pPr>
        <w:rPr>
          <w:rFonts w:ascii="仿宋_GB2312" w:hAnsi="仿宋_GB2312" w:eastAsia="仿宋_GB2312" w:cs="Arial"/>
          <w:b/>
          <w:sz w:val="32"/>
          <w:szCs w:val="32"/>
        </w:rPr>
      </w:pPr>
    </w:p>
    <w:p>
      <w:pPr>
        <w:rPr>
          <w:rFonts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u w:val="single"/>
        </w:rPr>
        <w:t>（项目编号）</w:t>
      </w:r>
      <w:r>
        <w:rPr>
          <w:rFonts w:hint="eastAsia" w:ascii="仿宋_GB2312" w:hAnsi="仿宋_GB2312" w:eastAsia="仿宋_GB2312" w:cs="Arial"/>
          <w:sz w:val="32"/>
          <w:szCs w:val="32"/>
        </w:rPr>
        <w:t>采购公示，接受贵方提出的各项要求，参与该项目报价。</w:t>
      </w:r>
    </w:p>
    <w:p>
      <w:pPr>
        <w:numPr>
          <w:ilvl w:val="0"/>
          <w:numId w:val="4"/>
        </w:numPr>
        <w:ind w:firstLine="640" w:firstLineChars="200"/>
        <w:rPr>
          <w:rFonts w:ascii="黑体" w:hAnsi="仿宋_GB2312" w:eastAsia="黑体" w:cs="Arial"/>
          <w:sz w:val="32"/>
          <w:szCs w:val="32"/>
        </w:rPr>
      </w:pPr>
      <w:r>
        <w:rPr>
          <w:rFonts w:hint="eastAsia" w:ascii="黑体" w:hAnsi="仿宋_GB2312" w:eastAsia="黑体" w:cs="Arial"/>
          <w:sz w:val="32"/>
          <w:szCs w:val="32"/>
        </w:rPr>
        <w:t>报价表：</w:t>
      </w:r>
    </w:p>
    <w:tbl>
      <w:tblPr>
        <w:tblStyle w:val="28"/>
        <w:tblW w:w="10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4"/>
        <w:gridCol w:w="2697"/>
        <w:gridCol w:w="1817"/>
        <w:gridCol w:w="1039"/>
        <w:gridCol w:w="906"/>
        <w:gridCol w:w="906"/>
        <w:gridCol w:w="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货物名称</w:t>
            </w:r>
          </w:p>
        </w:tc>
        <w:tc>
          <w:tcPr>
            <w:tcW w:w="2697"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规格型号</w:t>
            </w:r>
          </w:p>
        </w:tc>
        <w:tc>
          <w:tcPr>
            <w:tcW w:w="1817"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单位</w:t>
            </w:r>
          </w:p>
        </w:tc>
        <w:tc>
          <w:tcPr>
            <w:tcW w:w="1039"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数量</w:t>
            </w:r>
          </w:p>
        </w:tc>
        <w:tc>
          <w:tcPr>
            <w:tcW w:w="906"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单价</w:t>
            </w:r>
          </w:p>
        </w:tc>
        <w:tc>
          <w:tcPr>
            <w:tcW w:w="906"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小计</w:t>
            </w:r>
          </w:p>
        </w:tc>
        <w:tc>
          <w:tcPr>
            <w:tcW w:w="906" w:type="dxa"/>
            <w:vAlign w:val="center"/>
          </w:tcPr>
          <w:p>
            <w:pPr>
              <w:widowControl/>
              <w:jc w:val="center"/>
              <w:textAlignment w:val="center"/>
              <w:rPr>
                <w:rFonts w:ascii="宋体" w:hAnsi="宋体"/>
                <w:b/>
                <w:bCs/>
                <w:sz w:val="32"/>
                <w:szCs w:val="32"/>
              </w:rPr>
            </w:pPr>
            <w:r>
              <w:rPr>
                <w:rFonts w:hint="eastAsia" w:ascii="宋体" w:hAnsi="宋体" w:cs="宋体"/>
                <w:b/>
                <w:bCs/>
                <w:color w:val="000000"/>
                <w:kern w:val="0"/>
                <w:sz w:val="22"/>
                <w:szCs w:val="22"/>
                <w:lang w:bidi="ar"/>
              </w:rPr>
              <w:t>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shd w:val="solid" w:color="FFFFFF" w:fill="auto"/>
            <w:vAlign w:val="center"/>
          </w:tcPr>
          <w:p>
            <w:pPr>
              <w:jc w:val="center"/>
              <w:rPr>
                <w:rFonts w:ascii="宋体" w:hAnsi="宋体"/>
                <w:sz w:val="32"/>
                <w:szCs w:val="32"/>
              </w:rPr>
            </w:pPr>
          </w:p>
        </w:tc>
        <w:tc>
          <w:tcPr>
            <w:tcW w:w="2697" w:type="dxa"/>
            <w:shd w:val="solid" w:color="FFFFFF" w:fill="auto"/>
            <w:vAlign w:val="center"/>
          </w:tcPr>
          <w:p>
            <w:pPr>
              <w:jc w:val="center"/>
              <w:rPr>
                <w:rFonts w:ascii="宋体" w:hAnsi="宋体"/>
                <w:sz w:val="32"/>
                <w:szCs w:val="32"/>
              </w:rPr>
            </w:pPr>
          </w:p>
        </w:tc>
        <w:tc>
          <w:tcPr>
            <w:tcW w:w="1817" w:type="dxa"/>
            <w:shd w:val="solid" w:color="FFFFFF" w:fill="auto"/>
            <w:vAlign w:val="center"/>
          </w:tcPr>
          <w:p>
            <w:pPr>
              <w:jc w:val="center"/>
              <w:rPr>
                <w:rFonts w:ascii="宋体" w:hAnsi="宋体"/>
                <w:sz w:val="32"/>
                <w:szCs w:val="32"/>
              </w:rPr>
            </w:pPr>
          </w:p>
        </w:tc>
        <w:tc>
          <w:tcPr>
            <w:tcW w:w="1039"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shd w:val="solid" w:color="FFFFFF" w:fill="auto"/>
            <w:vAlign w:val="center"/>
          </w:tcPr>
          <w:p>
            <w:pPr>
              <w:jc w:val="center"/>
              <w:rPr>
                <w:rFonts w:ascii="宋体" w:hAnsi="宋体"/>
                <w:sz w:val="32"/>
                <w:szCs w:val="32"/>
              </w:rPr>
            </w:pPr>
          </w:p>
        </w:tc>
        <w:tc>
          <w:tcPr>
            <w:tcW w:w="2697" w:type="dxa"/>
            <w:shd w:val="solid" w:color="FFFFFF" w:fill="auto"/>
            <w:vAlign w:val="center"/>
          </w:tcPr>
          <w:p>
            <w:pPr>
              <w:jc w:val="center"/>
              <w:rPr>
                <w:rFonts w:ascii="宋体" w:hAnsi="宋体"/>
                <w:sz w:val="32"/>
                <w:szCs w:val="32"/>
              </w:rPr>
            </w:pPr>
          </w:p>
        </w:tc>
        <w:tc>
          <w:tcPr>
            <w:tcW w:w="1817" w:type="dxa"/>
            <w:shd w:val="solid" w:color="FFFFFF" w:fill="auto"/>
            <w:vAlign w:val="center"/>
          </w:tcPr>
          <w:p>
            <w:pPr>
              <w:jc w:val="center"/>
              <w:rPr>
                <w:rFonts w:ascii="宋体" w:hAnsi="宋体"/>
                <w:sz w:val="32"/>
                <w:szCs w:val="32"/>
              </w:rPr>
            </w:pPr>
          </w:p>
        </w:tc>
        <w:tc>
          <w:tcPr>
            <w:tcW w:w="1039"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shd w:val="solid" w:color="FFFFFF" w:fill="auto"/>
            <w:vAlign w:val="center"/>
          </w:tcPr>
          <w:p>
            <w:pPr>
              <w:jc w:val="center"/>
              <w:rPr>
                <w:rFonts w:ascii="宋体" w:hAnsi="宋体"/>
                <w:sz w:val="32"/>
                <w:szCs w:val="32"/>
              </w:rPr>
            </w:pPr>
            <w:r>
              <w:rPr>
                <w:rFonts w:hint="eastAsia" w:ascii="宋体" w:hAnsi="宋体"/>
                <w:sz w:val="32"/>
                <w:szCs w:val="32"/>
              </w:rPr>
              <w:t>...</w:t>
            </w:r>
          </w:p>
        </w:tc>
        <w:tc>
          <w:tcPr>
            <w:tcW w:w="2697" w:type="dxa"/>
            <w:shd w:val="solid" w:color="FFFFFF" w:fill="auto"/>
            <w:vAlign w:val="center"/>
          </w:tcPr>
          <w:p>
            <w:pPr>
              <w:jc w:val="center"/>
              <w:rPr>
                <w:rFonts w:ascii="宋体" w:hAnsi="宋体"/>
                <w:sz w:val="32"/>
                <w:szCs w:val="32"/>
              </w:rPr>
            </w:pPr>
          </w:p>
        </w:tc>
        <w:tc>
          <w:tcPr>
            <w:tcW w:w="1817" w:type="dxa"/>
            <w:shd w:val="solid" w:color="FFFFFF" w:fill="auto"/>
            <w:vAlign w:val="center"/>
          </w:tcPr>
          <w:p>
            <w:pPr>
              <w:jc w:val="center"/>
              <w:rPr>
                <w:rFonts w:ascii="宋体" w:hAnsi="宋体"/>
                <w:sz w:val="32"/>
                <w:szCs w:val="32"/>
              </w:rPr>
            </w:pPr>
          </w:p>
        </w:tc>
        <w:tc>
          <w:tcPr>
            <w:tcW w:w="1039"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c>
          <w:tcPr>
            <w:tcW w:w="906" w:type="dxa"/>
            <w:shd w:val="solid" w:color="FFFFFF" w:fill="auto"/>
            <w:vAlign w:val="center"/>
          </w:tcPr>
          <w:p>
            <w:pPr>
              <w:jc w:val="center"/>
              <w:rPr>
                <w:rFonts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601" w:type="dxa"/>
            <w:gridSpan w:val="2"/>
            <w:vAlign w:val="center"/>
          </w:tcPr>
          <w:p>
            <w:pPr>
              <w:widowControl/>
              <w:jc w:val="center"/>
              <w:rPr>
                <w:rFonts w:ascii="宋体" w:hAnsi="宋体" w:cs="宋体"/>
                <w:kern w:val="0"/>
                <w:sz w:val="32"/>
                <w:szCs w:val="32"/>
              </w:rPr>
            </w:pPr>
            <w:r>
              <w:rPr>
                <w:rFonts w:hint="eastAsia" w:ascii="宋体" w:hAnsi="宋体" w:cs="宋体"/>
                <w:b/>
                <w:bCs/>
                <w:kern w:val="0"/>
                <w:sz w:val="32"/>
                <w:szCs w:val="32"/>
              </w:rPr>
              <w:t>合        计（元）</w:t>
            </w:r>
          </w:p>
        </w:tc>
        <w:tc>
          <w:tcPr>
            <w:tcW w:w="5574" w:type="dxa"/>
            <w:gridSpan w:val="5"/>
            <w:vAlign w:val="center"/>
          </w:tcPr>
          <w:p>
            <w:pPr>
              <w:widowControl/>
              <w:jc w:val="center"/>
              <w:rPr>
                <w:rFonts w:ascii="宋体" w:hAnsi="宋体" w:cs="宋体"/>
                <w:kern w:val="0"/>
                <w:sz w:val="32"/>
                <w:szCs w:val="32"/>
              </w:rPr>
            </w:pPr>
          </w:p>
        </w:tc>
      </w:tr>
    </w:tbl>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供应商可以在报价表中选用替代标准，但这些替代标准要优于或相当于技术规格中要求的标准。</w:t>
      </w:r>
    </w:p>
    <w:p>
      <w:pPr>
        <w:rPr>
          <w:rFonts w:ascii="黑体" w:hAnsi="仿宋_GB2312" w:eastAsia="黑体" w:cs="Arial"/>
          <w:sz w:val="32"/>
          <w:szCs w:val="32"/>
        </w:rPr>
      </w:pPr>
      <w:r>
        <w:rPr>
          <w:rFonts w:hint="eastAsia" w:ascii="黑体" w:hAnsi="仿宋_GB2312" w:eastAsia="黑体" w:cs="Arial"/>
          <w:sz w:val="32"/>
          <w:szCs w:val="32"/>
        </w:rPr>
        <w:t>二、交货期和地点</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合同签订后</w:t>
      </w:r>
      <w:r>
        <w:rPr>
          <w:rFonts w:hint="eastAsia" w:ascii="仿宋_GB2312" w:hAnsi="仿宋_GB2312" w:eastAsia="仿宋_GB2312" w:cs="Arial"/>
          <w:sz w:val="32"/>
          <w:szCs w:val="32"/>
          <w:u w:val="single"/>
        </w:rPr>
        <w:t xml:space="preserve">    </w:t>
      </w:r>
      <w:r>
        <w:rPr>
          <w:rFonts w:hint="eastAsia" w:ascii="仿宋_GB2312" w:hAnsi="仿宋_GB2312" w:eastAsia="仿宋_GB2312" w:cs="Arial"/>
          <w:sz w:val="32"/>
          <w:szCs w:val="32"/>
        </w:rPr>
        <w:t>日内交货安装调试完毕，交付采购单位验收。交货地点为采购人单位所在地。</w:t>
      </w:r>
    </w:p>
    <w:p>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三、技术支持与服务承诺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四、有关资质证明材料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五、联系方式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pPr>
      <w:r>
        <w:rPr>
          <w:rFonts w:hint="eastAsia" w:ascii="仿宋_GB2312" w:hAnsi="仿宋_GB2312" w:eastAsia="仿宋_GB2312" w:cs="Arial"/>
          <w:sz w:val="32"/>
          <w:szCs w:val="32"/>
        </w:rPr>
        <w:t xml:space="preserve">             　　　　　　　　　年  月  日</w:t>
      </w:r>
    </w:p>
    <w:p>
      <w:pPr>
        <w:numPr>
          <w:ilvl w:val="0"/>
          <w:numId w:val="5"/>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28"/>
        <w:tblW w:w="4998" w:type="pct"/>
        <w:tblInd w:w="0" w:type="dxa"/>
        <w:tblLayout w:type="fixed"/>
        <w:tblCellMar>
          <w:top w:w="0" w:type="dxa"/>
          <w:left w:w="108" w:type="dxa"/>
          <w:bottom w:w="0" w:type="dxa"/>
          <w:right w:w="108" w:type="dxa"/>
        </w:tblCellMar>
      </w:tblPr>
      <w:tblGrid>
        <w:gridCol w:w="441"/>
        <w:gridCol w:w="2490"/>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65"/>
                <w:rFonts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35"/>
        <w:rPr>
          <w:rFonts w:ascii="楷体" w:hAnsi="楷体" w:eastAsia="楷体" w:cs="楷体"/>
          <w:sz w:val="36"/>
          <w:szCs w:val="36"/>
        </w:rPr>
      </w:pPr>
    </w:p>
    <w:p>
      <w:pPr>
        <w:pStyle w:val="7"/>
        <w:rPr>
          <w:rFonts w:ascii="楷体" w:hAnsi="楷体" w:eastAsia="楷体" w:cs="楷体"/>
          <w:sz w:val="36"/>
          <w:szCs w:val="36"/>
        </w:rPr>
      </w:pPr>
    </w:p>
    <w:p>
      <w:pPr>
        <w:rPr>
          <w:rFonts w:ascii="楷体" w:hAnsi="楷体" w:eastAsia="楷体" w:cs="楷体"/>
          <w:sz w:val="36"/>
          <w:szCs w:val="36"/>
        </w:rPr>
      </w:pPr>
    </w:p>
    <w:p>
      <w:pPr>
        <w:pStyle w:val="35"/>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spacing w:line="240" w:lineRule="auto"/>
        <w:ind w:firstLine="548" w:firstLineChars="196"/>
        <w:outlineLvl w:val="1"/>
        <w:rPr>
          <w:rFonts w:ascii="楷体" w:hAnsi="楷体" w:eastAsia="楷体" w:cs="楷体"/>
          <w:sz w:val="28"/>
          <w:szCs w:val="28"/>
        </w:rPr>
      </w:pPr>
    </w:p>
    <w:p>
      <w:pPr>
        <w:pStyle w:val="35"/>
      </w:pP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35"/>
        <w:spacing w:line="360" w:lineRule="auto"/>
        <w:rPr>
          <w:rFonts w:ascii="楷体" w:hAnsi="楷体" w:eastAsia="楷体" w:cs="楷体"/>
          <w:sz w:val="28"/>
          <w:szCs w:val="28"/>
        </w:rPr>
      </w:pPr>
    </w:p>
    <w:p>
      <w:pPr>
        <w:pStyle w:val="10"/>
      </w:pPr>
    </w:p>
    <w:p>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120" w:after="120" w:line="700" w:lineRule="exact"/>
        <w:jc w:val="center"/>
        <w:rPr>
          <w:rFonts w:ascii="仿宋_GB2312" w:hAnsi="仿宋_GB2312" w:eastAsia="仿宋_GB2312" w:cs="仿宋_GB2312"/>
          <w:b w:val="0"/>
        </w:rPr>
      </w:pPr>
      <w:bookmarkStart w:id="88" w:name="_Toc25079261"/>
      <w:bookmarkStart w:id="89" w:name="_Toc8165"/>
      <w:r>
        <w:rPr>
          <w:rFonts w:hint="eastAsia" w:ascii="仿宋_GB2312" w:hAnsi="仿宋_GB2312" w:eastAsia="仿宋_GB2312" w:cs="仿宋_GB2312"/>
          <w:b w:val="0"/>
        </w:rPr>
        <w:t xml:space="preserve">第四章  </w:t>
      </w:r>
      <w:bookmarkEnd w:id="87"/>
      <w:r>
        <w:rPr>
          <w:rFonts w:hint="eastAsia" w:ascii="仿宋_GB2312" w:hAnsi="仿宋_GB2312" w:eastAsia="仿宋_GB2312" w:cs="仿宋_GB2312"/>
          <w:b w:val="0"/>
        </w:rPr>
        <w:t>资格审查</w:t>
      </w:r>
      <w:bookmarkEnd w:id="88"/>
      <w:bookmarkEnd w:id="89"/>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39"/>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39"/>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39"/>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39"/>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39"/>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39"/>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39"/>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39"/>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39"/>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39"/>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39"/>
              <w:rPr>
                <w:rFonts w:ascii="仿宋_GB2312" w:hAnsi="仿宋_GB2312" w:eastAsia="仿宋_GB2312" w:cs="仿宋_GB2312"/>
                <w:color w:val="FF0000"/>
                <w:highlight w:val="yellow"/>
              </w:rPr>
            </w:pPr>
          </w:p>
        </w:tc>
      </w:tr>
    </w:tbl>
    <w:p>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after="0" w:line="580" w:lineRule="exact"/>
        <w:ind w:firstLine="560" w:firstLineChars="200"/>
        <w:jc w:val="left"/>
        <w:rPr>
          <w:rFonts w:ascii="仿宋_GB2312" w:hAnsi="仿宋_GB2312" w:eastAsia="仿宋_GB2312" w:cs="仿宋_GB2312"/>
          <w:sz w:val="24"/>
        </w:rPr>
        <w:sectPr>
          <w:footerReference r:id="rId8"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90" w:name="_Toc217446093"/>
      <w:r>
        <w:rPr>
          <w:rFonts w:hint="eastAsia" w:ascii="仿宋_GB2312" w:hAnsi="仿宋_GB2312" w:eastAsia="仿宋_GB2312" w:cs="仿宋_GB2312"/>
          <w:sz w:val="28"/>
          <w:szCs w:val="28"/>
        </w:rPr>
        <w:t>。</w:t>
      </w:r>
    </w:p>
    <w:bookmarkEnd w:id="90"/>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bookmarkEnd w:id="18"/>
    <w:p>
      <w:pPr>
        <w:rPr>
          <w:rFonts w:ascii="仿宋_GB2312" w:hAnsi="仿宋_GB2312" w:eastAsia="仿宋_GB2312" w:cs="仿宋_GB2312"/>
          <w:sz w:val="24"/>
        </w:rPr>
      </w:pPr>
    </w:p>
    <w:p>
      <w:pPr>
        <w:rPr>
          <w:rFonts w:ascii="仿宋_GB2312" w:hAnsi="仿宋_GB2312" w:eastAsia="仿宋_GB2312" w:cs="仿宋_GB2312"/>
        </w:rPr>
      </w:pPr>
    </w:p>
    <w:sectPr>
      <w:headerReference r:id="rId9" w:type="default"/>
      <w:footerReference r:id="rId10" w:type="default"/>
      <w:footerReference r:id="rId11"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2</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44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35</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44</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56</w:t>
    </w:r>
    <w:r>
      <w:fldChar w:fldCharType="end"/>
    </w:r>
  </w:p>
  <w:p>
    <w:pPr>
      <w:pStyle w:val="18"/>
      <w:ind w:right="360"/>
    </w:pPr>
  </w:p>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F32BD27"/>
    <w:multiLevelType w:val="singleLevel"/>
    <w:tmpl w:val="0F32BD27"/>
    <w:lvl w:ilvl="0" w:tentative="0">
      <w:start w:val="1"/>
      <w:numFmt w:val="decimal"/>
      <w:lvlText w:val="%1."/>
      <w:lvlJc w:val="left"/>
      <w:pPr>
        <w:ind w:left="425" w:hanging="425"/>
      </w:pPr>
      <w:rPr>
        <w:rFonts w:hint="default"/>
      </w:rPr>
    </w:lvl>
  </w:abstractNum>
  <w:abstractNum w:abstractNumId="4">
    <w:nsid w:val="587D89C6"/>
    <w:multiLevelType w:val="singleLevel"/>
    <w:tmpl w:val="587D89C6"/>
    <w:lvl w:ilvl="0" w:tentative="0">
      <w:start w:val="1"/>
      <w:numFmt w:val="decimal"/>
      <w:suff w:val="nothing"/>
      <w:lvlText w:val="%1、"/>
      <w:lvlJc w:val="left"/>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MjAyMTA3YzEzM2E1YzlmODgzMjMwZDg5MTVhZmY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00789"/>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801591"/>
    <w:rsid w:val="11C22947"/>
    <w:rsid w:val="11C61ECE"/>
    <w:rsid w:val="11C96F3F"/>
    <w:rsid w:val="11EB27F1"/>
    <w:rsid w:val="11F80FD7"/>
    <w:rsid w:val="123B6B8C"/>
    <w:rsid w:val="125A62EA"/>
    <w:rsid w:val="1268239A"/>
    <w:rsid w:val="126A5F2F"/>
    <w:rsid w:val="127E4C49"/>
    <w:rsid w:val="1294767B"/>
    <w:rsid w:val="129D5474"/>
    <w:rsid w:val="12C54DAE"/>
    <w:rsid w:val="12E71DDC"/>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3FD32D4"/>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C4F58"/>
    <w:rsid w:val="26E51EF5"/>
    <w:rsid w:val="26E83F4E"/>
    <w:rsid w:val="26FE01DA"/>
    <w:rsid w:val="270B79A6"/>
    <w:rsid w:val="274D1E41"/>
    <w:rsid w:val="275B5A9E"/>
    <w:rsid w:val="275E2901"/>
    <w:rsid w:val="278D255A"/>
    <w:rsid w:val="27BE5B97"/>
    <w:rsid w:val="27EA5FF0"/>
    <w:rsid w:val="27FF63C4"/>
    <w:rsid w:val="28012834"/>
    <w:rsid w:val="28017784"/>
    <w:rsid w:val="2837249D"/>
    <w:rsid w:val="28661406"/>
    <w:rsid w:val="287621C2"/>
    <w:rsid w:val="287F157E"/>
    <w:rsid w:val="28856C28"/>
    <w:rsid w:val="28CB0FF3"/>
    <w:rsid w:val="28D93112"/>
    <w:rsid w:val="28DD78F7"/>
    <w:rsid w:val="293D6286"/>
    <w:rsid w:val="29412AAF"/>
    <w:rsid w:val="29702FFF"/>
    <w:rsid w:val="29BC3B0E"/>
    <w:rsid w:val="29BF4FA7"/>
    <w:rsid w:val="29F57155"/>
    <w:rsid w:val="2A0E2481"/>
    <w:rsid w:val="2A481D63"/>
    <w:rsid w:val="2A7A0529"/>
    <w:rsid w:val="2A8B422F"/>
    <w:rsid w:val="2AA7152B"/>
    <w:rsid w:val="2AF76C92"/>
    <w:rsid w:val="2B2744E9"/>
    <w:rsid w:val="2B6F26E8"/>
    <w:rsid w:val="2B7467F9"/>
    <w:rsid w:val="2B7A199A"/>
    <w:rsid w:val="2B8C760C"/>
    <w:rsid w:val="2BB56C2C"/>
    <w:rsid w:val="2BB97180"/>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764C1F"/>
    <w:rsid w:val="34C41960"/>
    <w:rsid w:val="34F34C56"/>
    <w:rsid w:val="351A530D"/>
    <w:rsid w:val="351E2D6A"/>
    <w:rsid w:val="35272246"/>
    <w:rsid w:val="3537338E"/>
    <w:rsid w:val="3553736A"/>
    <w:rsid w:val="35775973"/>
    <w:rsid w:val="357A5788"/>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666D0"/>
    <w:rsid w:val="3EA7753D"/>
    <w:rsid w:val="3EAE72F5"/>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9973AF"/>
    <w:rsid w:val="45A42927"/>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9865C2"/>
    <w:rsid w:val="60AA1412"/>
    <w:rsid w:val="60D969BE"/>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E2484B"/>
    <w:rsid w:val="640273E1"/>
    <w:rsid w:val="64136119"/>
    <w:rsid w:val="64410586"/>
    <w:rsid w:val="6445786C"/>
    <w:rsid w:val="64471220"/>
    <w:rsid w:val="647734A0"/>
    <w:rsid w:val="64897997"/>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51586"/>
    <w:rsid w:val="70FA14DC"/>
    <w:rsid w:val="70FC6D5A"/>
    <w:rsid w:val="71516933"/>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2846D4"/>
    <w:rsid w:val="7D8E2F86"/>
    <w:rsid w:val="7D8F5732"/>
    <w:rsid w:val="7DA55362"/>
    <w:rsid w:val="7DB479EE"/>
    <w:rsid w:val="7DCD6635"/>
    <w:rsid w:val="7DD51AC7"/>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Document Map"/>
    <w:basedOn w:val="1"/>
    <w:link w:val="55"/>
    <w:qFormat/>
    <w:uiPriority w:val="0"/>
    <w:rPr>
      <w:rFonts w:ascii="宋体"/>
      <w:sz w:val="18"/>
      <w:szCs w:val="18"/>
    </w:rPr>
  </w:style>
  <w:style w:type="paragraph" w:styleId="9">
    <w:name w:val="annotation text"/>
    <w:basedOn w:val="1"/>
    <w:link w:val="52"/>
    <w:qFormat/>
    <w:uiPriority w:val="0"/>
    <w:pPr>
      <w:jc w:val="left"/>
    </w:pPr>
  </w:style>
  <w:style w:type="paragraph" w:styleId="10">
    <w:name w:val="Body Text"/>
    <w:basedOn w:val="1"/>
    <w:next w:val="11"/>
    <w:link w:val="51"/>
    <w:unhideWhenUsed/>
    <w:qFormat/>
    <w:uiPriority w:val="0"/>
    <w:pPr>
      <w:spacing w:after="120"/>
    </w:p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53"/>
    <w:qFormat/>
    <w:uiPriority w:val="0"/>
    <w:rPr>
      <w:sz w:val="18"/>
      <w:szCs w:val="18"/>
    </w:rPr>
  </w:style>
  <w:style w:type="paragraph" w:styleId="18">
    <w:name w:val="footer"/>
    <w:basedOn w:val="1"/>
    <w:link w:val="60"/>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link w:val="62"/>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3"/>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rPr>
      <w:rFonts w:ascii="Calibri" w:hAnsi="Calibri" w:eastAsia="宋体" w:cs="Times New Roman"/>
    </w:rPr>
  </w:style>
  <w:style w:type="character" w:styleId="32">
    <w:name w:val="Emphasis"/>
    <w:qFormat/>
    <w:uiPriority w:val="0"/>
    <w:rPr>
      <w:rFonts w:ascii="Calibri" w:hAnsi="Calibri" w:eastAsia="宋体" w:cs="Times New Roman"/>
    </w:rPr>
  </w:style>
  <w:style w:type="character" w:styleId="33">
    <w:name w:val="Hyperlink"/>
    <w:unhideWhenUsed/>
    <w:qFormat/>
    <w:uiPriority w:val="99"/>
    <w:rPr>
      <w:rFonts w:ascii="Calibri" w:hAnsi="Calibri" w:eastAsia="宋体" w:cs="Times New Roman"/>
      <w:color w:val="0563C1"/>
      <w:u w:val="single"/>
    </w:rPr>
  </w:style>
  <w:style w:type="character" w:styleId="34">
    <w:name w:val="annotation reference"/>
    <w:qFormat/>
    <w:uiPriority w:val="99"/>
    <w:rPr>
      <w:rFonts w:ascii="Calibri" w:hAnsi="Calibri" w:eastAsia="宋体" w:cs="Times New Roman"/>
      <w:sz w:val="21"/>
      <w:szCs w:val="21"/>
    </w:rPr>
  </w:style>
  <w:style w:type="paragraph" w:customStyle="1" w:styleId="35">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样式"/>
    <w:link w:val="57"/>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7">
    <w:name w:val="正文首行缩进两字符"/>
    <w:basedOn w:val="38"/>
    <w:qFormat/>
    <w:uiPriority w:val="0"/>
    <w:pPr>
      <w:spacing w:line="360" w:lineRule="auto"/>
      <w:ind w:firstLine="200" w:firstLineChars="200"/>
    </w:pPr>
  </w:style>
  <w:style w:type="paragraph" w:customStyle="1" w:styleId="38">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39">
    <w:name w:val="样式1"/>
    <w:basedOn w:val="36"/>
    <w:link w:val="59"/>
    <w:qFormat/>
    <w:uiPriority w:val="0"/>
    <w:pPr>
      <w:spacing w:after="0" w:line="400" w:lineRule="exact"/>
      <w:jc w:val="center"/>
    </w:pPr>
    <w:rPr>
      <w:rFonts w:ascii="仿宋" w:hAnsi="仿宋" w:eastAsia="仿宋" w:cs="Times New Roman"/>
      <w:kern w:val="2"/>
      <w:szCs w:val="28"/>
    </w:rPr>
  </w:style>
  <w:style w:type="paragraph" w:customStyle="1" w:styleId="40">
    <w:name w:val="(符号)四标题1.1"/>
    <w:basedOn w:val="1"/>
    <w:qFormat/>
    <w:uiPriority w:val="0"/>
    <w:pPr>
      <w:numPr>
        <w:ilvl w:val="1"/>
        <w:numId w:val="1"/>
      </w:numPr>
      <w:tabs>
        <w:tab w:val="left" w:pos="700"/>
      </w:tabs>
      <w:spacing w:after="0" w:line="500" w:lineRule="exact"/>
    </w:pPr>
    <w:rPr>
      <w:rFonts w:ascii="宋体" w:hAnsi="宋体" w:cs="宋体"/>
      <w:color w:val="000000"/>
      <w:kern w:val="0"/>
      <w:sz w:val="24"/>
      <w:szCs w:val="20"/>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目录"/>
    <w:basedOn w:val="1"/>
    <w:qFormat/>
    <w:uiPriority w:val="0"/>
    <w:pPr>
      <w:widowControl/>
      <w:spacing w:after="0" w:line="240" w:lineRule="auto"/>
      <w:jc w:val="center"/>
    </w:pPr>
    <w:rPr>
      <w:rFonts w:ascii="宋体" w:hAnsi="Times New Roman"/>
      <w:b/>
      <w:bCs/>
      <w:kern w:val="0"/>
      <w:sz w:val="36"/>
      <w:szCs w:val="36"/>
    </w:rPr>
  </w:style>
  <w:style w:type="paragraph" w:styleId="43">
    <w:name w:val="List Paragraph"/>
    <w:basedOn w:val="1"/>
    <w:link w:val="45"/>
    <w:qFormat/>
    <w:uiPriority w:val="34"/>
    <w:pPr>
      <w:ind w:firstLine="420" w:firstLineChars="200"/>
    </w:pPr>
  </w:style>
  <w:style w:type="paragraph" w:customStyle="1" w:styleId="44">
    <w:name w:val="_Style 2"/>
    <w:basedOn w:val="1"/>
    <w:qFormat/>
    <w:uiPriority w:val="0"/>
    <w:pPr>
      <w:ind w:firstLine="420" w:firstLineChars="200"/>
    </w:pPr>
    <w:rPr>
      <w:sz w:val="18"/>
      <w:szCs w:val="18"/>
    </w:rPr>
  </w:style>
  <w:style w:type="character" w:customStyle="1" w:styleId="45">
    <w:name w:val="列表段落 字符"/>
    <w:link w:val="43"/>
    <w:qFormat/>
    <w:uiPriority w:val="34"/>
    <w:rPr>
      <w:rFonts w:ascii="Calibri" w:hAnsi="Calibri" w:eastAsia="宋体" w:cs="Times New Roman"/>
      <w:kern w:val="2"/>
      <w:sz w:val="21"/>
      <w:szCs w:val="24"/>
    </w:rPr>
  </w:style>
  <w:style w:type="character" w:customStyle="1" w:styleId="46">
    <w:name w:val="标题 1 字符"/>
    <w:link w:val="2"/>
    <w:qFormat/>
    <w:uiPriority w:val="0"/>
    <w:rPr>
      <w:rFonts w:ascii="Calibri" w:hAnsi="Calibri" w:eastAsia="宋体" w:cs="Times New Roman"/>
      <w:b/>
      <w:bCs/>
      <w:kern w:val="44"/>
      <w:sz w:val="44"/>
      <w:szCs w:val="44"/>
    </w:rPr>
  </w:style>
  <w:style w:type="character" w:customStyle="1" w:styleId="47">
    <w:name w:val="font31"/>
    <w:qFormat/>
    <w:uiPriority w:val="0"/>
    <w:rPr>
      <w:rFonts w:hint="eastAsia" w:ascii="宋体" w:hAnsi="宋体" w:eastAsia="宋体" w:cs="宋体"/>
      <w:color w:val="000000"/>
      <w:sz w:val="21"/>
      <w:szCs w:val="21"/>
      <w:u w:val="none"/>
    </w:rPr>
  </w:style>
  <w:style w:type="character" w:customStyle="1" w:styleId="48">
    <w:name w:val="sidecatalog-index2"/>
    <w:qFormat/>
    <w:uiPriority w:val="0"/>
    <w:rPr>
      <w:rFonts w:ascii="Arail" w:hAnsi="Arail" w:eastAsia="Arail" w:cs="Arail"/>
      <w:color w:val="999999"/>
      <w:sz w:val="21"/>
      <w:szCs w:val="21"/>
    </w:rPr>
  </w:style>
  <w:style w:type="character" w:customStyle="1" w:styleId="49">
    <w:name w:val="font101"/>
    <w:qFormat/>
    <w:uiPriority w:val="0"/>
    <w:rPr>
      <w:rFonts w:hint="eastAsia" w:ascii="宋体" w:hAnsi="宋体" w:eastAsia="宋体" w:cs="宋体"/>
      <w:color w:val="000000"/>
      <w:sz w:val="21"/>
      <w:szCs w:val="21"/>
      <w:u w:val="single"/>
    </w:rPr>
  </w:style>
  <w:style w:type="character" w:customStyle="1" w:styleId="50">
    <w:name w:val="fontstyle01"/>
    <w:qFormat/>
    <w:uiPriority w:val="0"/>
    <w:rPr>
      <w:rFonts w:hint="eastAsia" w:ascii="仿宋_GB2312" w:hAnsi="Calibri" w:eastAsia="仿宋_GB2312" w:cs="Times New Roman"/>
      <w:color w:val="000000"/>
      <w:sz w:val="32"/>
      <w:szCs w:val="32"/>
    </w:rPr>
  </w:style>
  <w:style w:type="character" w:customStyle="1" w:styleId="51">
    <w:name w:val="正文文本 字符"/>
    <w:link w:val="10"/>
    <w:semiHidden/>
    <w:qFormat/>
    <w:uiPriority w:val="0"/>
    <w:rPr>
      <w:rFonts w:ascii="Calibri" w:hAnsi="Calibri" w:eastAsia="宋体" w:cs="Times New Roman"/>
      <w:kern w:val="2"/>
      <w:sz w:val="21"/>
      <w:szCs w:val="24"/>
    </w:rPr>
  </w:style>
  <w:style w:type="character" w:customStyle="1" w:styleId="52">
    <w:name w:val="批注文字 字符"/>
    <w:link w:val="9"/>
    <w:qFormat/>
    <w:uiPriority w:val="0"/>
    <w:rPr>
      <w:rFonts w:ascii="Calibri" w:hAnsi="Calibri" w:eastAsia="宋体" w:cs="Times New Roman"/>
      <w:kern w:val="2"/>
      <w:sz w:val="21"/>
      <w:szCs w:val="24"/>
    </w:rPr>
  </w:style>
  <w:style w:type="character" w:customStyle="1" w:styleId="53">
    <w:name w:val="批注框文本 字符"/>
    <w:link w:val="17"/>
    <w:qFormat/>
    <w:uiPriority w:val="0"/>
    <w:rPr>
      <w:rFonts w:ascii="Calibri" w:hAnsi="Calibri" w:eastAsia="宋体" w:cs="Times New Roman"/>
      <w:kern w:val="2"/>
      <w:sz w:val="18"/>
      <w:szCs w:val="18"/>
    </w:rPr>
  </w:style>
  <w:style w:type="character" w:customStyle="1" w:styleId="54">
    <w:name w:val="批注框文本 Char"/>
    <w:qFormat/>
    <w:uiPriority w:val="0"/>
    <w:rPr>
      <w:rFonts w:ascii="Calibri" w:hAnsi="Calibri" w:eastAsia="宋体" w:cs="Times New Roman"/>
      <w:kern w:val="2"/>
      <w:sz w:val="18"/>
      <w:szCs w:val="18"/>
    </w:rPr>
  </w:style>
  <w:style w:type="character" w:customStyle="1" w:styleId="55">
    <w:name w:val="文档结构图 字符"/>
    <w:link w:val="8"/>
    <w:qFormat/>
    <w:uiPriority w:val="0"/>
    <w:rPr>
      <w:rFonts w:ascii="宋体" w:hAnsi="Calibri" w:eastAsia="宋体" w:cs="Times New Roman"/>
      <w:kern w:val="2"/>
      <w:sz w:val="18"/>
      <w:szCs w:val="18"/>
    </w:rPr>
  </w:style>
  <w:style w:type="character" w:customStyle="1" w:styleId="56">
    <w:name w:val="批注文字 Char1"/>
    <w:qFormat/>
    <w:uiPriority w:val="0"/>
    <w:rPr>
      <w:rFonts w:ascii="Times New Roman" w:hAnsi="Times New Roman" w:eastAsia="宋体" w:cs="Times New Roman"/>
      <w:szCs w:val="24"/>
    </w:rPr>
  </w:style>
  <w:style w:type="character" w:customStyle="1" w:styleId="57">
    <w:name w:val="样式 Char"/>
    <w:link w:val="36"/>
    <w:qFormat/>
    <w:uiPriority w:val="0"/>
    <w:rPr>
      <w:rFonts w:ascii="宋体" w:hAnsi="宋体" w:eastAsia="宋体" w:cs="宋体"/>
      <w:sz w:val="24"/>
      <w:szCs w:val="24"/>
      <w:lang w:val="en-US" w:eastAsia="zh-CN" w:bidi="ar-SA"/>
    </w:rPr>
  </w:style>
  <w:style w:type="character" w:customStyle="1" w:styleId="58">
    <w:name w:val="font91"/>
    <w:qFormat/>
    <w:uiPriority w:val="0"/>
    <w:rPr>
      <w:rFonts w:hint="eastAsia" w:ascii="宋体" w:hAnsi="宋体" w:eastAsia="宋体" w:cs="宋体"/>
      <w:color w:val="FF0000"/>
      <w:sz w:val="21"/>
      <w:szCs w:val="21"/>
      <w:u w:val="single"/>
    </w:rPr>
  </w:style>
  <w:style w:type="character" w:customStyle="1" w:styleId="59">
    <w:name w:val="样式1 Char"/>
    <w:link w:val="39"/>
    <w:qFormat/>
    <w:uiPriority w:val="0"/>
    <w:rPr>
      <w:rFonts w:ascii="仿宋" w:hAnsi="仿宋" w:eastAsia="仿宋" w:cs="宋体"/>
      <w:kern w:val="2"/>
      <w:sz w:val="24"/>
      <w:szCs w:val="28"/>
    </w:rPr>
  </w:style>
  <w:style w:type="character" w:customStyle="1" w:styleId="60">
    <w:name w:val="页脚 字符"/>
    <w:link w:val="18"/>
    <w:qFormat/>
    <w:uiPriority w:val="99"/>
    <w:rPr>
      <w:rFonts w:ascii="Calibri" w:hAnsi="Calibri" w:eastAsia="宋体" w:cs="Times New Roman"/>
      <w:kern w:val="2"/>
      <w:sz w:val="18"/>
    </w:rPr>
  </w:style>
  <w:style w:type="character" w:customStyle="1" w:styleId="61">
    <w:name w:val="标题 2 字符"/>
    <w:link w:val="3"/>
    <w:qFormat/>
    <w:uiPriority w:val="0"/>
    <w:rPr>
      <w:rFonts w:ascii="Arial" w:hAnsi="Arial" w:eastAsia="黑体" w:cs="Times New Roman"/>
      <w:b/>
      <w:bCs/>
      <w:kern w:val="2"/>
      <w:sz w:val="32"/>
      <w:szCs w:val="32"/>
    </w:rPr>
  </w:style>
  <w:style w:type="character" w:customStyle="1" w:styleId="62">
    <w:name w:val="普通(网站) 字符"/>
    <w:link w:val="26"/>
    <w:qFormat/>
    <w:uiPriority w:val="0"/>
    <w:rPr>
      <w:rFonts w:ascii="宋体" w:hAnsi="Calibri" w:eastAsia="宋体" w:cs="Times New Roman"/>
      <w:sz w:val="18"/>
      <w:szCs w:val="18"/>
    </w:rPr>
  </w:style>
  <w:style w:type="character" w:customStyle="1" w:styleId="63">
    <w:name w:val="批注主题 字符"/>
    <w:link w:val="27"/>
    <w:qFormat/>
    <w:uiPriority w:val="0"/>
    <w:rPr>
      <w:rFonts w:ascii="Calibri" w:hAnsi="Calibri" w:eastAsia="宋体" w:cs="Times New Roman"/>
      <w:b/>
      <w:bCs/>
      <w:kern w:val="2"/>
      <w:sz w:val="21"/>
      <w:szCs w:val="24"/>
    </w:rPr>
  </w:style>
  <w:style w:type="character" w:customStyle="1" w:styleId="64">
    <w:name w:val="font111"/>
    <w:qFormat/>
    <w:uiPriority w:val="0"/>
    <w:rPr>
      <w:rFonts w:hint="default" w:ascii="Eʩ" w:hAnsi="Eʩ" w:eastAsia="Eʩ" w:cs="Eʩ"/>
      <w:color w:val="000000"/>
      <w:sz w:val="21"/>
      <w:szCs w:val="21"/>
      <w:u w:val="single"/>
    </w:rPr>
  </w:style>
  <w:style w:type="character" w:customStyle="1" w:styleId="65">
    <w:name w:val="font11"/>
    <w:basedOn w:val="30"/>
    <w:qFormat/>
    <w:uiPriority w:val="0"/>
    <w:rPr>
      <w:rFonts w:hint="eastAsia" w:ascii="宋体" w:hAnsi="宋体" w:eastAsia="宋体" w:cs="宋体"/>
      <w:color w:val="000000"/>
      <w:sz w:val="24"/>
      <w:szCs w:val="24"/>
      <w:u w:val="none"/>
    </w:rPr>
  </w:style>
  <w:style w:type="character" w:customStyle="1" w:styleId="66">
    <w:name w:val="font71"/>
    <w:basedOn w:val="30"/>
    <w:qFormat/>
    <w:uiPriority w:val="0"/>
    <w:rPr>
      <w:rFonts w:ascii="微软雅黑" w:hAnsi="微软雅黑" w:eastAsia="微软雅黑" w:cs="微软雅黑"/>
      <w:color w:val="auto"/>
      <w:sz w:val="28"/>
      <w:szCs w:val="28"/>
      <w:u w:val="none"/>
    </w:rPr>
  </w:style>
  <w:style w:type="character" w:customStyle="1" w:styleId="67">
    <w:name w:val="font61"/>
    <w:basedOn w:val="30"/>
    <w:qFormat/>
    <w:uiPriority w:val="0"/>
    <w:rPr>
      <w:rFonts w:hint="eastAsia" w:ascii="方正仿宋_GBK" w:hAnsi="方正仿宋_GBK" w:eastAsia="方正仿宋_GBK" w:cs="方正仿宋_GBK"/>
      <w:color w:val="auto"/>
      <w:sz w:val="28"/>
      <w:szCs w:val="28"/>
      <w:u w:val="none"/>
    </w:rPr>
  </w:style>
  <w:style w:type="character" w:customStyle="1" w:styleId="68">
    <w:name w:val="font81"/>
    <w:basedOn w:val="30"/>
    <w:qFormat/>
    <w:uiPriority w:val="0"/>
    <w:rPr>
      <w:rFonts w:ascii="Calibri" w:hAnsi="Calibri" w:cs="Calibri"/>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1071</Words>
  <Characters>6108</Characters>
  <Lines>50</Lines>
  <Paragraphs>14</Paragraphs>
  <TotalTime>9</TotalTime>
  <ScaleCrop>false</ScaleCrop>
  <LinksUpToDate>false</LinksUpToDate>
  <CharactersWithSpaces>7165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高帆</cp:lastModifiedBy>
  <cp:lastPrinted>2022-01-07T06:02:00Z</cp:lastPrinted>
  <dcterms:modified xsi:type="dcterms:W3CDTF">2023-10-31T04:36:48Z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13892B6BB4354257B6D3FAE1080DC1CA_13</vt:lpwstr>
  </property>
</Properties>
</file>