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lang w:eastAsia="zh-CN"/>
        </w:rPr>
        <w:t>成都汽车职业技术学校生活垃圾清运服务项目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01</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2"/>
        <w:numPr>
          <w:ilvl w:val="0"/>
          <w:numId w:val="0"/>
        </w:numPr>
        <w:bidi w:val="0"/>
        <w:ind w:leftChars="0"/>
        <w:jc w:val="center"/>
        <w:rPr>
          <w:rFonts w:hint="eastAsia"/>
          <w:u w:val="single"/>
          <w:lang w:val="en-US" w:eastAsia="zh-CN"/>
        </w:rPr>
      </w:pPr>
      <w:r>
        <w:rPr>
          <w:rFonts w:hint="eastAsia"/>
          <w:u w:val="single"/>
          <w:lang w:val="en-US" w:eastAsia="zh-CN"/>
        </w:rPr>
        <w:t>成都汽车职业技术学校学校生活垃圾清运服务项目</w:t>
      </w:r>
    </w:p>
    <w:p>
      <w:pPr>
        <w:pStyle w:val="2"/>
        <w:numPr>
          <w:ilvl w:val="0"/>
          <w:numId w:val="0"/>
        </w:numPr>
        <w:bidi w:val="0"/>
        <w:ind w:leftChars="0"/>
        <w:jc w:val="center"/>
        <w:rPr>
          <w:rFonts w:hint="default"/>
          <w:u w:val="single"/>
          <w:lang w:val="en-US" w:eastAsia="zh-CN"/>
        </w:rPr>
      </w:pPr>
      <w:r>
        <w:rPr>
          <w:rFonts w:hint="eastAsia"/>
          <w:u w:val="singl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成都汽车职业技术学校学校生活垃圾清运服务项目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成都汽车职业技术学校学校生活垃圾清运服务项目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DC9151-2023-063</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7"/>
        <w:ind w:firstLine="600" w:firstLineChars="250"/>
        <w:rPr>
          <w:rFonts w:hAnsi="宋体" w:cs="宋体"/>
          <w:sz w:val="24"/>
          <w:szCs w:val="24"/>
        </w:rPr>
      </w:pPr>
      <w:r>
        <w:rPr>
          <w:rFonts w:hint="eastAsia" w:hAnsi="宋体" w:cs="宋体"/>
          <w:sz w:val="24"/>
          <w:szCs w:val="24"/>
        </w:rPr>
        <w:t>1、具有独立承担民事责任的能力；</w:t>
      </w:r>
    </w:p>
    <w:p>
      <w:pPr>
        <w:pStyle w:val="17"/>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7"/>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7"/>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7"/>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7"/>
        <w:ind w:firstLine="600" w:firstLineChars="250"/>
        <w:rPr>
          <w:rFonts w:hAnsi="宋体" w:cs="宋体"/>
          <w:sz w:val="24"/>
          <w:szCs w:val="24"/>
        </w:rPr>
      </w:pPr>
      <w:r>
        <w:rPr>
          <w:rFonts w:hint="eastAsia" w:hAnsi="宋体" w:cs="宋体"/>
          <w:sz w:val="24"/>
          <w:szCs w:val="24"/>
        </w:rPr>
        <w:t>6、法律、行政法规规定的其他条件；</w:t>
      </w:r>
    </w:p>
    <w:p>
      <w:pPr>
        <w:pStyle w:val="17"/>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7"/>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7"/>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01</w:t>
      </w:r>
      <w:r>
        <w:rPr>
          <w:rFonts w:hint="eastAsia" w:ascii="宋体" w:hAnsi="宋体" w:cs="宋体"/>
          <w:b/>
          <w:bCs/>
          <w:color w:val="FF0000"/>
          <w:sz w:val="24"/>
        </w:rPr>
        <w:t>月</w:t>
      </w:r>
      <w:r>
        <w:rPr>
          <w:rFonts w:hint="eastAsia" w:ascii="宋体" w:hAnsi="宋体" w:cs="宋体"/>
          <w:b/>
          <w:bCs/>
          <w:color w:val="FF0000"/>
          <w:sz w:val="24"/>
          <w:lang w:eastAsia="zh-CN"/>
        </w:rPr>
        <w:t>25</w:t>
      </w:r>
      <w:r>
        <w:rPr>
          <w:rFonts w:hint="eastAsia" w:ascii="宋体" w:hAnsi="宋体" w:cs="宋体"/>
          <w:b/>
          <w:bCs/>
          <w:color w:val="FF0000"/>
          <w:sz w:val="24"/>
        </w:rPr>
        <w:t>日</w:t>
      </w:r>
      <w:r>
        <w:rPr>
          <w:rFonts w:hint="eastAsia" w:ascii="宋体" w:hAnsi="宋体" w:cs="宋体"/>
          <w:b/>
          <w:bCs/>
          <w:color w:val="FF0000"/>
          <w:sz w:val="24"/>
          <w:lang w:eastAsia="zh-CN"/>
        </w:rPr>
        <w:t>9</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7"/>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7"/>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7"/>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w:t>
      </w:r>
      <w:r>
        <w:rPr>
          <w:rFonts w:hint="eastAsia" w:ascii="宋体" w:hAnsi="宋体" w:cs="宋体"/>
          <w:b/>
          <w:bCs/>
          <w:color w:val="FF0000"/>
          <w:sz w:val="24"/>
          <w:lang w:val="en-US" w:eastAsia="zh-CN"/>
        </w:rPr>
        <w:t>4</w:t>
      </w:r>
      <w:r>
        <w:rPr>
          <w:rFonts w:hint="eastAsia" w:ascii="宋体" w:hAnsi="宋体" w:cs="宋体"/>
          <w:b/>
          <w:bCs/>
          <w:color w:val="FF0000"/>
          <w:sz w:val="24"/>
        </w:rPr>
        <w:t>年</w:t>
      </w:r>
      <w:r>
        <w:rPr>
          <w:rFonts w:hint="eastAsia" w:ascii="宋体" w:hAnsi="宋体" w:cs="宋体"/>
          <w:b/>
          <w:bCs/>
          <w:color w:val="FF0000"/>
          <w:sz w:val="24"/>
          <w:lang w:val="en-US" w:eastAsia="zh-CN"/>
        </w:rPr>
        <w:t>01</w:t>
      </w:r>
      <w:r>
        <w:rPr>
          <w:rFonts w:hint="eastAsia" w:ascii="宋体" w:hAnsi="宋体" w:cs="宋体"/>
          <w:b/>
          <w:bCs/>
          <w:color w:val="FF0000"/>
          <w:sz w:val="24"/>
        </w:rPr>
        <w:t>月</w:t>
      </w:r>
      <w:r>
        <w:rPr>
          <w:rFonts w:hint="eastAsia" w:ascii="宋体" w:hAnsi="宋体" w:cs="宋体"/>
          <w:b/>
          <w:bCs/>
          <w:color w:val="FF0000"/>
          <w:sz w:val="24"/>
          <w:lang w:val="en-US" w:eastAsia="zh-CN"/>
        </w:rPr>
        <w:t>25</w:t>
      </w:r>
      <w:bookmarkStart w:id="16" w:name="_GoBack"/>
      <w:bookmarkEnd w:id="16"/>
      <w:r>
        <w:rPr>
          <w:rFonts w:hint="eastAsia" w:ascii="宋体" w:hAnsi="宋体" w:cs="宋体"/>
          <w:b/>
          <w:bCs/>
          <w:color w:val="FF0000"/>
          <w:sz w:val="24"/>
        </w:rPr>
        <w:t>日</w:t>
      </w:r>
      <w:r>
        <w:rPr>
          <w:rFonts w:hint="eastAsia" w:ascii="宋体" w:hAnsi="宋体" w:cs="宋体"/>
          <w:b/>
          <w:bCs/>
          <w:color w:val="FF0000"/>
          <w:sz w:val="24"/>
          <w:lang w:val="en-US" w:eastAsia="zh-CN"/>
        </w:rPr>
        <w:t>10</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成都汽车职业技术学校生活垃圾清运服务项目</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DC9151-2023-063</w:t>
      </w:r>
    </w:p>
    <w:p>
      <w:pPr>
        <w:jc w:val="left"/>
        <w:rPr>
          <w:rFonts w:hint="eastAsia" w:ascii="宋体" w:hAnsi="宋体" w:eastAsia="宋体" w:cs="宋体"/>
          <w:sz w:val="32"/>
          <w:szCs w:val="32"/>
          <w:highlight w:val="yellow"/>
          <w:u w:val="single"/>
          <w:lang w:val="en-US" w:eastAsia="zh-CN"/>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7.4万元/年</w:t>
      </w:r>
    </w:p>
    <w:p>
      <w:pPr>
        <w:jc w:val="left"/>
        <w:rPr>
          <w:rFonts w:ascii="宋体" w:hAnsi="宋体" w:eastAsia="宋体" w:cs="宋体"/>
          <w:b/>
          <w:bCs/>
          <w:sz w:val="32"/>
          <w:szCs w:val="32"/>
        </w:rPr>
      </w:pPr>
      <w:r>
        <w:rPr>
          <w:rFonts w:hint="eastAsia" w:ascii="宋体" w:hAnsi="宋体" w:eastAsia="宋体" w:cs="宋体"/>
          <w:b/>
          <w:bCs/>
          <w:sz w:val="32"/>
          <w:szCs w:val="32"/>
        </w:rPr>
        <w:t>1.采购清单和技术参数</w:t>
      </w:r>
    </w:p>
    <w:tbl>
      <w:tblPr>
        <w:tblStyle w:val="13"/>
        <w:tblpPr w:leftFromText="180" w:rightFromText="180" w:vertAnchor="text" w:horzAnchor="page" w:tblpX="1118" w:tblpY="396"/>
        <w:tblOverlap w:val="never"/>
        <w:tblW w:w="9639"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60"/>
        <w:gridCol w:w="2796"/>
        <w:gridCol w:w="6283"/>
      </w:tblGrid>
      <w:tr>
        <w:tblPrEx>
          <w:tblLayout w:type="fixed"/>
        </w:tblPrEx>
        <w:trPr>
          <w:trHeight w:val="456" w:hRule="atLeast"/>
          <w:tblHeader/>
        </w:trPr>
        <w:tc>
          <w:tcPr>
            <w:tcW w:w="560" w:type="dxa"/>
            <w:vAlign w:val="center"/>
          </w:tcPr>
          <w:p>
            <w:pPr>
              <w:pStyle w:val="22"/>
              <w:spacing w:line="360" w:lineRule="auto"/>
              <w:ind w:left="9"/>
              <w:jc w:val="center"/>
              <w:rPr>
                <w:b/>
                <w:bCs/>
                <w:color w:val="000000"/>
                <w:kern w:val="2"/>
              </w:rPr>
            </w:pPr>
            <w:r>
              <w:rPr>
                <w:rFonts w:hint="eastAsia"/>
                <w:b/>
                <w:bCs/>
                <w:color w:val="000000"/>
                <w:kern w:val="2"/>
              </w:rPr>
              <w:t>序号</w:t>
            </w:r>
          </w:p>
        </w:tc>
        <w:tc>
          <w:tcPr>
            <w:tcW w:w="2796" w:type="dxa"/>
            <w:vAlign w:val="center"/>
          </w:tcPr>
          <w:p>
            <w:pPr>
              <w:pStyle w:val="22"/>
              <w:spacing w:line="360" w:lineRule="auto"/>
              <w:ind w:left="38"/>
              <w:jc w:val="center"/>
              <w:rPr>
                <w:b/>
                <w:bCs/>
                <w:color w:val="000000"/>
                <w:kern w:val="2"/>
              </w:rPr>
            </w:pPr>
            <w:r>
              <w:rPr>
                <w:rFonts w:hint="eastAsia"/>
                <w:b/>
                <w:bCs/>
                <w:color w:val="000000"/>
                <w:kern w:val="2"/>
              </w:rPr>
              <w:t>条款名称</w:t>
            </w:r>
          </w:p>
        </w:tc>
        <w:tc>
          <w:tcPr>
            <w:tcW w:w="6283" w:type="dxa"/>
            <w:vAlign w:val="center"/>
          </w:tcPr>
          <w:p>
            <w:pPr>
              <w:pStyle w:val="22"/>
              <w:spacing w:line="360" w:lineRule="auto"/>
              <w:ind w:right="99" w:rightChars="47"/>
              <w:jc w:val="center"/>
              <w:rPr>
                <w:b/>
                <w:bCs/>
                <w:color w:val="000000"/>
                <w:kern w:val="2"/>
              </w:rPr>
            </w:pPr>
            <w:r>
              <w:rPr>
                <w:rFonts w:hint="eastAsia"/>
                <w:b/>
                <w:bCs/>
                <w:color w:val="000000"/>
                <w:kern w:val="2"/>
              </w:rPr>
              <w:t>说明和要求</w:t>
            </w:r>
          </w:p>
        </w:tc>
      </w:tr>
      <w:tr>
        <w:tblPrEx>
          <w:tblLayout w:type="fixed"/>
        </w:tblPrEx>
        <w:trPr>
          <w:trHeight w:val="713" w:hRule="atLeast"/>
        </w:trPr>
        <w:tc>
          <w:tcPr>
            <w:tcW w:w="56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796" w:type="dxa"/>
            <w:tcBorders>
              <w:top w:val="single" w:color="auto" w:sz="4" w:space="0"/>
            </w:tcBorders>
            <w:vAlign w:val="center"/>
          </w:tcPr>
          <w:p>
            <w:pPr>
              <w:pStyle w:val="22"/>
              <w:spacing w:line="360" w:lineRule="auto"/>
              <w:jc w:val="center"/>
              <w:rPr>
                <w:color w:val="000000"/>
                <w:kern w:val="2"/>
              </w:rPr>
            </w:pPr>
            <w:r>
              <w:rPr>
                <w:rFonts w:hint="eastAsia"/>
                <w:color w:val="000000"/>
                <w:kern w:val="2"/>
                <w:lang w:val="zh-CN"/>
              </w:rPr>
              <w:t>最高限价</w:t>
            </w:r>
          </w:p>
        </w:tc>
        <w:tc>
          <w:tcPr>
            <w:tcW w:w="6283" w:type="dxa"/>
            <w:tcBorders>
              <w:top w:val="single" w:color="auto" w:sz="4" w:space="0"/>
            </w:tcBorders>
            <w:vAlign w:val="center"/>
          </w:tcPr>
          <w:p>
            <w:pPr>
              <w:widowControl/>
              <w:spacing w:line="360" w:lineRule="auto"/>
              <w:ind w:right="99" w:rightChars="47" w:firstLine="456" w:firstLineChars="190"/>
              <w:rPr>
                <w:rFonts w:ascii="宋体" w:hAnsi="宋体" w:cs="宋体"/>
                <w:color w:val="000000"/>
                <w:sz w:val="24"/>
              </w:rPr>
            </w:pPr>
            <w:r>
              <w:rPr>
                <w:rFonts w:hint="eastAsia" w:ascii="宋体" w:hAnsi="宋体" w:cs="宋体"/>
                <w:color w:val="000000"/>
                <w:sz w:val="24"/>
              </w:rPr>
              <w:t>人民币：</w:t>
            </w:r>
            <w:r>
              <w:rPr>
                <w:rFonts w:hint="eastAsia" w:ascii="宋体" w:hAnsi="宋体" w:cs="宋体"/>
                <w:color w:val="000000"/>
                <w:sz w:val="24"/>
                <w:highlight w:val="yellow"/>
              </w:rPr>
              <w:t>7.4万元/年</w:t>
            </w:r>
          </w:p>
          <w:p>
            <w:pPr>
              <w:widowControl/>
              <w:spacing w:line="360" w:lineRule="auto"/>
              <w:ind w:right="99" w:rightChars="47" w:firstLine="456" w:firstLineChars="190"/>
              <w:rPr>
                <w:rFonts w:ascii="宋体" w:hAnsi="宋体" w:cs="宋体"/>
                <w:color w:val="000000"/>
                <w:sz w:val="24"/>
              </w:rPr>
            </w:pPr>
            <w:r>
              <w:rPr>
                <w:rFonts w:hint="eastAsia" w:ascii="宋体" w:hAnsi="宋体" w:cs="宋体"/>
                <w:color w:val="000000"/>
                <w:sz w:val="24"/>
              </w:rPr>
              <w:t>超过比选预算的报价，其比选申请文件作无效处理</w:t>
            </w:r>
            <w:r>
              <w:rPr>
                <w:rFonts w:hint="eastAsia" w:ascii="宋体" w:hAnsi="宋体" w:cs="宋体"/>
                <w:b/>
                <w:bCs/>
                <w:color w:val="000000"/>
                <w:sz w:val="24"/>
              </w:rPr>
              <w:t>。</w:t>
            </w:r>
          </w:p>
        </w:tc>
      </w:tr>
      <w:tr>
        <w:tblPrEx>
          <w:tblLayout w:type="fixed"/>
        </w:tblPrEx>
        <w:trPr>
          <w:trHeight w:val="90" w:hRule="atLeast"/>
        </w:trPr>
        <w:tc>
          <w:tcPr>
            <w:tcW w:w="560" w:type="dxa"/>
            <w:vAlign w:val="center"/>
          </w:tcPr>
          <w:p>
            <w:pPr>
              <w:widowControl/>
              <w:spacing w:line="360" w:lineRule="auto"/>
              <w:ind w:right="99" w:rightChars="47"/>
              <w:jc w:val="center"/>
              <w:rPr>
                <w:rFonts w:ascii="宋体" w:hAnsi="宋体" w:cs="宋体"/>
                <w:color w:val="000000"/>
                <w:sz w:val="24"/>
              </w:rPr>
            </w:pPr>
            <w:r>
              <w:rPr>
                <w:rFonts w:hint="eastAsia" w:ascii="宋体" w:hAnsi="宋体" w:cs="宋体"/>
                <w:color w:val="000000"/>
                <w:sz w:val="24"/>
              </w:rPr>
              <w:t xml:space="preserve"> 2</w:t>
            </w:r>
          </w:p>
        </w:tc>
        <w:tc>
          <w:tcPr>
            <w:tcW w:w="2796" w:type="dxa"/>
            <w:vAlign w:val="center"/>
          </w:tcPr>
          <w:p>
            <w:pPr>
              <w:widowControl/>
              <w:spacing w:line="360" w:lineRule="auto"/>
              <w:ind w:left="199" w:leftChars="95" w:right="99" w:rightChars="47"/>
              <w:jc w:val="center"/>
              <w:rPr>
                <w:rFonts w:ascii="宋体" w:hAnsi="宋体" w:cs="宋体"/>
                <w:color w:val="000000"/>
                <w:sz w:val="24"/>
              </w:rPr>
            </w:pPr>
            <w:r>
              <w:rPr>
                <w:rFonts w:hint="eastAsia" w:ascii="宋体" w:hAnsi="宋体" w:cs="宋体"/>
                <w:color w:val="000000"/>
                <w:sz w:val="24"/>
              </w:rPr>
              <w:t>采购方式及评审方法</w:t>
            </w:r>
          </w:p>
        </w:tc>
        <w:tc>
          <w:tcPr>
            <w:tcW w:w="6283" w:type="dxa"/>
            <w:tcBorders>
              <w:top w:val="single" w:color="auto" w:sz="4" w:space="0"/>
            </w:tcBorders>
            <w:vAlign w:val="center"/>
          </w:tcPr>
          <w:p>
            <w:pPr>
              <w:widowControl/>
              <w:spacing w:line="360" w:lineRule="auto"/>
              <w:ind w:right="99" w:rightChars="47" w:firstLine="456" w:firstLineChars="190"/>
              <w:rPr>
                <w:rFonts w:ascii="宋体" w:hAnsi="宋体" w:cs="宋体"/>
                <w:color w:val="000000"/>
                <w:kern w:val="0"/>
                <w:sz w:val="24"/>
              </w:rPr>
            </w:pPr>
            <w:r>
              <w:rPr>
                <w:rFonts w:hint="eastAsia" w:ascii="宋体" w:hAnsi="宋体" w:cs="宋体"/>
                <w:color w:val="000000"/>
                <w:kern w:val="0"/>
                <w:sz w:val="24"/>
              </w:rPr>
              <w:t>比选,综合评分法。</w:t>
            </w:r>
          </w:p>
        </w:tc>
      </w:tr>
      <w:tr>
        <w:tblPrEx>
          <w:tblLayout w:type="fixed"/>
        </w:tblPrEx>
        <w:trPr>
          <w:trHeight w:val="233" w:hRule="atLeast"/>
        </w:trPr>
        <w:tc>
          <w:tcPr>
            <w:tcW w:w="560" w:type="dxa"/>
            <w:tcBorders>
              <w:bottom w:val="single" w:color="auto" w:sz="8" w:space="0"/>
            </w:tcBorders>
            <w:vAlign w:val="center"/>
          </w:tcPr>
          <w:p>
            <w:pPr>
              <w:pStyle w:val="22"/>
              <w:spacing w:line="360" w:lineRule="auto"/>
              <w:jc w:val="center"/>
              <w:rPr>
                <w:color w:val="000000"/>
                <w:kern w:val="2"/>
              </w:rPr>
            </w:pPr>
            <w:r>
              <w:rPr>
                <w:rFonts w:hint="eastAsia"/>
                <w:color w:val="000000"/>
                <w:kern w:val="2"/>
              </w:rPr>
              <w:t>3</w:t>
            </w:r>
          </w:p>
        </w:tc>
        <w:tc>
          <w:tcPr>
            <w:tcW w:w="2796" w:type="dxa"/>
            <w:tcBorders>
              <w:bottom w:val="single" w:color="auto" w:sz="8" w:space="0"/>
            </w:tcBorders>
            <w:vAlign w:val="center"/>
          </w:tcPr>
          <w:p>
            <w:pPr>
              <w:pStyle w:val="22"/>
              <w:spacing w:line="360" w:lineRule="auto"/>
              <w:ind w:left="38"/>
              <w:jc w:val="center"/>
              <w:rPr>
                <w:color w:val="000000"/>
                <w:kern w:val="2"/>
              </w:rPr>
            </w:pPr>
            <w:r>
              <w:rPr>
                <w:rFonts w:hint="eastAsia"/>
                <w:color w:val="000000"/>
                <w:kern w:val="2"/>
              </w:rPr>
              <w:t>比选申请有效期</w:t>
            </w:r>
          </w:p>
          <w:p>
            <w:pPr>
              <w:pStyle w:val="22"/>
              <w:spacing w:line="360" w:lineRule="auto"/>
              <w:ind w:left="38"/>
              <w:jc w:val="center"/>
              <w:rPr>
                <w:color w:val="000000"/>
                <w:kern w:val="2"/>
              </w:rPr>
            </w:pPr>
            <w:r>
              <w:rPr>
                <w:rFonts w:hint="eastAsia"/>
                <w:b/>
                <w:bCs/>
                <w:color w:val="000000"/>
                <w:kern w:val="2"/>
              </w:rPr>
              <w:t>（实质性要求）</w:t>
            </w:r>
          </w:p>
        </w:tc>
        <w:tc>
          <w:tcPr>
            <w:tcW w:w="6283" w:type="dxa"/>
            <w:tcBorders>
              <w:bottom w:val="single" w:color="auto" w:sz="8" w:space="0"/>
            </w:tcBorders>
            <w:vAlign w:val="center"/>
          </w:tcPr>
          <w:p>
            <w:pPr>
              <w:pStyle w:val="22"/>
              <w:spacing w:line="360" w:lineRule="auto"/>
              <w:ind w:right="99" w:rightChars="47" w:firstLine="456" w:firstLineChars="190"/>
              <w:jc w:val="both"/>
              <w:rPr>
                <w:color w:val="000000"/>
              </w:rPr>
            </w:pPr>
            <w:r>
              <w:rPr>
                <w:rFonts w:hint="eastAsia"/>
                <w:color w:val="000000"/>
              </w:rPr>
              <w:t>截止递交比选申请文件之日起</w:t>
            </w:r>
            <w:r>
              <w:rPr>
                <w:rFonts w:hint="eastAsia"/>
                <w:b/>
                <w:bCs/>
                <w:color w:val="000000"/>
              </w:rPr>
              <w:t>90天</w:t>
            </w:r>
            <w:r>
              <w:rPr>
                <w:rFonts w:hint="eastAsia"/>
                <w:color w:val="000000"/>
              </w:rPr>
              <w:t>。</w:t>
            </w:r>
          </w:p>
        </w:tc>
      </w:tr>
      <w:tr>
        <w:tblPrEx>
          <w:tblLayout w:type="fixed"/>
        </w:tblPrEx>
        <w:trPr>
          <w:trHeight w:val="374" w:hRule="atLeast"/>
        </w:trPr>
        <w:tc>
          <w:tcPr>
            <w:tcW w:w="560" w:type="dxa"/>
            <w:vAlign w:val="center"/>
          </w:tcPr>
          <w:p>
            <w:pPr>
              <w:pStyle w:val="22"/>
              <w:spacing w:line="360" w:lineRule="auto"/>
              <w:jc w:val="center"/>
              <w:rPr>
                <w:color w:val="000000"/>
                <w:kern w:val="2"/>
              </w:rPr>
            </w:pPr>
            <w:r>
              <w:rPr>
                <w:rFonts w:hint="eastAsia"/>
                <w:color w:val="000000"/>
                <w:kern w:val="2"/>
              </w:rPr>
              <w:t>4</w:t>
            </w:r>
          </w:p>
        </w:tc>
        <w:tc>
          <w:tcPr>
            <w:tcW w:w="2796" w:type="dxa"/>
            <w:vAlign w:val="center"/>
          </w:tcPr>
          <w:p>
            <w:pPr>
              <w:pStyle w:val="22"/>
              <w:spacing w:line="360" w:lineRule="auto"/>
              <w:ind w:left="96"/>
              <w:jc w:val="center"/>
              <w:rPr>
                <w:color w:val="000000"/>
                <w:lang w:val="zh-CN"/>
              </w:rPr>
            </w:pPr>
            <w:r>
              <w:rPr>
                <w:rFonts w:hint="eastAsia"/>
                <w:color w:val="000000"/>
                <w:lang w:val="zh-CN"/>
              </w:rPr>
              <w:t>比选保证金</w:t>
            </w:r>
          </w:p>
        </w:tc>
        <w:tc>
          <w:tcPr>
            <w:tcW w:w="6283" w:type="dxa"/>
            <w:vAlign w:val="center"/>
          </w:tcPr>
          <w:p>
            <w:pPr>
              <w:pStyle w:val="22"/>
              <w:ind w:firstLine="480" w:firstLineChars="200"/>
              <w:rPr>
                <w:color w:val="000000"/>
                <w:kern w:val="2"/>
                <w:lang w:val="zh-CN"/>
              </w:rPr>
            </w:pPr>
            <w:r>
              <w:rPr>
                <w:rFonts w:hint="eastAsia"/>
                <w:color w:val="000000"/>
                <w:kern w:val="2"/>
                <w:lang w:val="zh-CN"/>
              </w:rPr>
              <w:t>本项目不收取比选保证金。</w:t>
            </w:r>
          </w:p>
        </w:tc>
      </w:tr>
      <w:tr>
        <w:tblPrEx>
          <w:tblLayout w:type="fixed"/>
        </w:tblPrEx>
        <w:trPr>
          <w:trHeight w:val="176" w:hRule="atLeast"/>
        </w:trPr>
        <w:tc>
          <w:tcPr>
            <w:tcW w:w="560" w:type="dxa"/>
            <w:vAlign w:val="center"/>
          </w:tcPr>
          <w:p>
            <w:pPr>
              <w:pStyle w:val="22"/>
              <w:spacing w:line="360" w:lineRule="auto"/>
              <w:jc w:val="center"/>
              <w:rPr>
                <w:color w:val="000000"/>
                <w:kern w:val="2"/>
              </w:rPr>
            </w:pPr>
            <w:r>
              <w:rPr>
                <w:rFonts w:hint="eastAsia"/>
                <w:color w:val="000000"/>
                <w:kern w:val="2"/>
              </w:rPr>
              <w:t>5</w:t>
            </w:r>
          </w:p>
        </w:tc>
        <w:tc>
          <w:tcPr>
            <w:tcW w:w="2796" w:type="dxa"/>
            <w:vAlign w:val="center"/>
          </w:tcPr>
          <w:p>
            <w:pPr>
              <w:pStyle w:val="22"/>
              <w:spacing w:line="360" w:lineRule="auto"/>
              <w:ind w:left="96"/>
              <w:jc w:val="center"/>
              <w:rPr>
                <w:color w:val="000000"/>
                <w:lang w:val="zh-CN"/>
              </w:rPr>
            </w:pPr>
            <w:r>
              <w:rPr>
                <w:rFonts w:hint="eastAsia"/>
                <w:color w:val="000000"/>
                <w:lang w:val="zh-CN"/>
              </w:rPr>
              <w:t>履约保证金</w:t>
            </w:r>
          </w:p>
        </w:tc>
        <w:tc>
          <w:tcPr>
            <w:tcW w:w="6283" w:type="dxa"/>
            <w:vAlign w:val="center"/>
          </w:tcPr>
          <w:p>
            <w:pPr>
              <w:pStyle w:val="22"/>
              <w:spacing w:line="360" w:lineRule="auto"/>
              <w:ind w:firstLine="480" w:firstLineChars="200"/>
              <w:jc w:val="both"/>
              <w:rPr>
                <w:color w:val="000000"/>
                <w:kern w:val="2"/>
                <w:lang w:val="zh-CN"/>
              </w:rPr>
            </w:pPr>
            <w:r>
              <w:rPr>
                <w:rFonts w:hint="eastAsia"/>
                <w:color w:val="000000"/>
                <w:kern w:val="2"/>
                <w:lang w:val="zh-CN"/>
              </w:rPr>
              <w:t>本项目不收取履约保证金。</w:t>
            </w:r>
          </w:p>
        </w:tc>
      </w:tr>
      <w:tr>
        <w:tblPrEx>
          <w:tblLayout w:type="fixed"/>
        </w:tblPrEx>
        <w:trPr>
          <w:trHeight w:val="145"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6</w:t>
            </w:r>
          </w:p>
        </w:tc>
        <w:tc>
          <w:tcPr>
            <w:tcW w:w="2796"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lang w:val="zh-CN"/>
              </w:rPr>
              <w:t>比选申请文件份数、包装及密封要求</w:t>
            </w:r>
          </w:p>
        </w:tc>
        <w:tc>
          <w:tcPr>
            <w:tcW w:w="6283" w:type="dxa"/>
            <w:tcBorders>
              <w:top w:val="single" w:color="auto" w:sz="4" w:space="0"/>
              <w:bottom w:val="single" w:color="auto" w:sz="4" w:space="0"/>
            </w:tcBorders>
            <w:vAlign w:val="center"/>
          </w:tcPr>
          <w:p>
            <w:pPr>
              <w:pStyle w:val="22"/>
              <w:spacing w:line="360" w:lineRule="auto"/>
              <w:ind w:firstLine="480" w:firstLineChars="200"/>
              <w:jc w:val="both"/>
              <w:rPr>
                <w:color w:val="000000"/>
                <w:kern w:val="2"/>
                <w:lang w:val="zh-CN"/>
              </w:rPr>
            </w:pPr>
            <w:r>
              <w:rPr>
                <w:rFonts w:hint="eastAsia"/>
                <w:color w:val="000000"/>
                <w:kern w:val="2"/>
              </w:rPr>
              <w:t>1.</w:t>
            </w:r>
            <w:r>
              <w:rPr>
                <w:rFonts w:hint="eastAsia"/>
                <w:color w:val="000000"/>
                <w:kern w:val="2"/>
                <w:lang w:val="zh-CN"/>
              </w:rPr>
              <w:t>正本一份，副本</w:t>
            </w:r>
            <w:r>
              <w:rPr>
                <w:rFonts w:hint="eastAsia"/>
                <w:color w:val="000000"/>
                <w:kern w:val="2"/>
              </w:rPr>
              <w:t>一</w:t>
            </w:r>
            <w:r>
              <w:rPr>
                <w:rFonts w:hint="eastAsia"/>
                <w:color w:val="000000"/>
                <w:kern w:val="2"/>
                <w:lang w:val="zh-CN"/>
              </w:rPr>
              <w:t>份，</w:t>
            </w:r>
            <w:r>
              <w:rPr>
                <w:rFonts w:hint="eastAsia"/>
                <w:color w:val="000000"/>
                <w:kern w:val="2"/>
              </w:rPr>
              <w:t>电子文档一份</w:t>
            </w:r>
            <w:r>
              <w:rPr>
                <w:rFonts w:hint="eastAsia"/>
                <w:color w:val="000000"/>
                <w:kern w:val="2"/>
                <w:lang w:val="zh-CN"/>
              </w:rPr>
              <w:t>。当副本和正本不一致时，以正本为准，但副本和正本内容不一致造成的评审差错由比选申请人自行承担。</w:t>
            </w:r>
          </w:p>
          <w:p>
            <w:pPr>
              <w:pStyle w:val="22"/>
              <w:spacing w:line="360" w:lineRule="auto"/>
              <w:ind w:firstLine="480" w:firstLineChars="200"/>
              <w:jc w:val="both"/>
              <w:rPr>
                <w:color w:val="000000"/>
                <w:lang w:val="zh-CN"/>
              </w:rPr>
            </w:pPr>
            <w:r>
              <w:rPr>
                <w:rFonts w:hint="eastAsia"/>
                <w:color w:val="000000"/>
                <w:kern w:val="2"/>
                <w:lang w:val="zh-CN"/>
              </w:rPr>
              <w:t>2.比选申请文件的正本和副本应密封包装。</w:t>
            </w:r>
          </w:p>
        </w:tc>
      </w:tr>
      <w:tr>
        <w:tblPrEx>
          <w:tblLayout w:type="fixed"/>
        </w:tblPrEx>
        <w:trPr>
          <w:trHeight w:val="90"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7</w:t>
            </w:r>
          </w:p>
        </w:tc>
        <w:tc>
          <w:tcPr>
            <w:tcW w:w="2796"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lang w:val="zh-CN"/>
              </w:rPr>
              <w:t>是否退还比选申请文件</w:t>
            </w:r>
            <w:r>
              <w:rPr>
                <w:rFonts w:hint="eastAsia"/>
                <w:b/>
                <w:bCs/>
                <w:color w:val="000000"/>
                <w:lang w:val="zh-CN"/>
              </w:rPr>
              <w:t>（实质性要求）</w:t>
            </w:r>
          </w:p>
        </w:tc>
        <w:tc>
          <w:tcPr>
            <w:tcW w:w="6283"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lang w:val="zh-CN"/>
              </w:rPr>
              <w:t>否</w:t>
            </w:r>
          </w:p>
        </w:tc>
      </w:tr>
      <w:tr>
        <w:tblPrEx>
          <w:tblLayout w:type="fixed"/>
        </w:tblPrEx>
        <w:trPr>
          <w:trHeight w:val="145"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8</w:t>
            </w:r>
          </w:p>
        </w:tc>
        <w:tc>
          <w:tcPr>
            <w:tcW w:w="2796"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kern w:val="2"/>
              </w:rPr>
              <w:t>比选文件咨询</w:t>
            </w:r>
          </w:p>
        </w:tc>
        <w:tc>
          <w:tcPr>
            <w:tcW w:w="6283" w:type="dxa"/>
            <w:tcBorders>
              <w:top w:val="single" w:color="auto" w:sz="4" w:space="0"/>
              <w:bottom w:val="single" w:color="auto" w:sz="4" w:space="0"/>
            </w:tcBorders>
            <w:vAlign w:val="center"/>
          </w:tcPr>
          <w:p>
            <w:pPr>
              <w:pStyle w:val="22"/>
              <w:spacing w:line="360" w:lineRule="auto"/>
              <w:ind w:firstLine="420" w:firstLineChars="175"/>
              <w:jc w:val="both"/>
              <w:rPr>
                <w:rFonts w:hint="default" w:eastAsia="宋体"/>
                <w:color w:val="000000"/>
                <w:lang w:val="en-US" w:eastAsia="zh-CN"/>
              </w:rPr>
            </w:pPr>
            <w:r>
              <w:rPr>
                <w:rFonts w:hint="eastAsia"/>
                <w:color w:val="000000"/>
              </w:rPr>
              <w:t>联系人：</w:t>
            </w:r>
            <w:r>
              <w:rPr>
                <w:rFonts w:hint="eastAsia"/>
                <w:color w:val="000000"/>
                <w:lang w:val="en-US" w:eastAsia="zh-CN"/>
              </w:rPr>
              <w:t>高</w:t>
            </w:r>
            <w:r>
              <w:rPr>
                <w:rFonts w:hint="eastAsia"/>
                <w:color w:val="000000"/>
              </w:rPr>
              <w:t>老师     联系电话：</w:t>
            </w:r>
            <w:r>
              <w:rPr>
                <w:rFonts w:hint="eastAsia"/>
                <w:color w:val="000000"/>
                <w:lang w:val="en-US" w:eastAsia="zh-CN"/>
              </w:rPr>
              <w:t>13228133989</w:t>
            </w:r>
          </w:p>
        </w:tc>
      </w:tr>
      <w:tr>
        <w:tblPrEx>
          <w:tblLayout w:type="fixed"/>
        </w:tblPrEx>
        <w:trPr>
          <w:trHeight w:val="156"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9</w:t>
            </w:r>
          </w:p>
        </w:tc>
        <w:tc>
          <w:tcPr>
            <w:tcW w:w="2796"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开标、评审工作咨询</w:t>
            </w:r>
          </w:p>
        </w:tc>
        <w:tc>
          <w:tcPr>
            <w:tcW w:w="6283" w:type="dxa"/>
            <w:tcBorders>
              <w:top w:val="single" w:color="auto" w:sz="4" w:space="0"/>
              <w:bottom w:val="single" w:color="auto" w:sz="4" w:space="0"/>
            </w:tcBorders>
            <w:vAlign w:val="center"/>
          </w:tcPr>
          <w:p>
            <w:pPr>
              <w:spacing w:line="360" w:lineRule="auto"/>
              <w:ind w:right="99" w:rightChars="47" w:firstLine="420" w:firstLineChars="175"/>
              <w:rPr>
                <w:rFonts w:hint="default" w:ascii="宋体" w:hAnsi="宋体" w:cs="宋体" w:eastAsiaTheme="minorEastAsia"/>
                <w:color w:val="000000"/>
                <w:sz w:val="24"/>
                <w:lang w:val="en-US" w:eastAsia="zh-CN"/>
              </w:rPr>
            </w:pPr>
            <w:r>
              <w:rPr>
                <w:rFonts w:hint="eastAsia" w:ascii="宋体" w:hAnsi="宋体" w:cs="宋体"/>
                <w:color w:val="000000"/>
                <w:sz w:val="24"/>
              </w:rPr>
              <w:t>联系人：</w:t>
            </w:r>
            <w:r>
              <w:rPr>
                <w:rFonts w:hint="eastAsia" w:ascii="宋体" w:hAnsi="宋体" w:cs="宋体"/>
                <w:color w:val="000000"/>
                <w:sz w:val="24"/>
                <w:lang w:val="en-US" w:eastAsia="zh-CN"/>
              </w:rPr>
              <w:t>高</w:t>
            </w:r>
            <w:r>
              <w:rPr>
                <w:rFonts w:hint="eastAsia" w:ascii="宋体" w:hAnsi="宋体" w:cs="宋体"/>
                <w:color w:val="000000"/>
                <w:sz w:val="24"/>
              </w:rPr>
              <w:t>老师     联系电话：</w:t>
            </w:r>
            <w:r>
              <w:rPr>
                <w:rFonts w:hint="eastAsia" w:ascii="宋体" w:hAnsi="宋体" w:cs="宋体"/>
                <w:color w:val="000000"/>
                <w:sz w:val="24"/>
                <w:lang w:val="en-US" w:eastAsia="zh-CN"/>
              </w:rPr>
              <w:t>13228133989</w:t>
            </w:r>
          </w:p>
        </w:tc>
      </w:tr>
      <w:tr>
        <w:tblPrEx>
          <w:tblLayout w:type="fixed"/>
        </w:tblPrEx>
        <w:trPr>
          <w:trHeight w:val="474" w:hRule="atLeast"/>
        </w:trPr>
        <w:tc>
          <w:tcPr>
            <w:tcW w:w="560" w:type="dxa"/>
            <w:tcBorders>
              <w:top w:val="single" w:color="auto" w:sz="4" w:space="0"/>
            </w:tcBorders>
            <w:vAlign w:val="center"/>
          </w:tcPr>
          <w:p>
            <w:pPr>
              <w:pStyle w:val="22"/>
              <w:spacing w:line="360" w:lineRule="auto"/>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0</w:t>
            </w:r>
          </w:p>
        </w:tc>
        <w:tc>
          <w:tcPr>
            <w:tcW w:w="2796" w:type="dxa"/>
            <w:tcBorders>
              <w:top w:val="single" w:color="auto" w:sz="4" w:space="0"/>
            </w:tcBorders>
            <w:vAlign w:val="center"/>
          </w:tcPr>
          <w:p>
            <w:pPr>
              <w:pStyle w:val="22"/>
              <w:spacing w:line="360" w:lineRule="auto"/>
              <w:jc w:val="center"/>
              <w:rPr>
                <w:color w:val="000000"/>
                <w:kern w:val="2"/>
              </w:rPr>
            </w:pPr>
            <w:r>
              <w:rPr>
                <w:rFonts w:hint="eastAsia"/>
                <w:color w:val="000000"/>
              </w:rPr>
              <w:t>中选通知书领取</w:t>
            </w:r>
          </w:p>
        </w:tc>
        <w:tc>
          <w:tcPr>
            <w:tcW w:w="6283" w:type="dxa"/>
            <w:tcBorders>
              <w:top w:val="single" w:color="auto" w:sz="4" w:space="0"/>
            </w:tcBorders>
            <w:vAlign w:val="center"/>
          </w:tcPr>
          <w:p>
            <w:pPr>
              <w:tabs>
                <w:tab w:val="left" w:pos="7665"/>
              </w:tabs>
              <w:spacing w:line="360" w:lineRule="auto"/>
              <w:ind w:right="99" w:rightChars="47" w:firstLine="480" w:firstLineChars="200"/>
              <w:rPr>
                <w:rFonts w:ascii="宋体" w:hAnsi="宋体" w:cs="宋体"/>
                <w:color w:val="000000"/>
                <w:sz w:val="24"/>
              </w:rPr>
            </w:pPr>
            <w:r>
              <w:rPr>
                <w:rFonts w:hint="eastAsia" w:ascii="宋体" w:hAnsi="宋体" w:cs="宋体"/>
                <w:color w:val="000000"/>
                <w:sz w:val="24"/>
              </w:rPr>
              <w:t>中选公告在原公告栏上公告后，请中选比选申请人凭有效身份证明证件</w:t>
            </w:r>
            <w:r>
              <w:rPr>
                <w:rFonts w:hint="eastAsia" w:ascii="宋体" w:hAnsi="宋体" w:cs="宋体"/>
                <w:color w:val="000000"/>
                <w:sz w:val="24"/>
                <w:lang w:val="en-US" w:eastAsia="zh-CN"/>
              </w:rPr>
              <w:t>在成都汽车职业技术学校</w:t>
            </w:r>
            <w:r>
              <w:rPr>
                <w:rFonts w:hint="eastAsia" w:ascii="宋体" w:hAnsi="宋体" w:cs="宋体"/>
                <w:color w:val="000000"/>
                <w:sz w:val="24"/>
              </w:rPr>
              <w:t>领取中选通知书。</w:t>
            </w:r>
          </w:p>
          <w:p>
            <w:pPr>
              <w:spacing w:line="360" w:lineRule="auto"/>
              <w:ind w:right="99" w:rightChars="47"/>
              <w:rPr>
                <w:rFonts w:ascii="宋体" w:hAnsi="宋体" w:cs="宋体"/>
                <w:color w:val="000000"/>
                <w:sz w:val="24"/>
                <w:lang w:val="zh-CN"/>
              </w:rPr>
            </w:pPr>
            <w:r>
              <w:rPr>
                <w:rFonts w:hint="eastAsia" w:ascii="宋体" w:hAnsi="宋体" w:cs="宋体"/>
                <w:color w:val="000000"/>
                <w:sz w:val="24"/>
                <w:lang w:val="zh-CN"/>
              </w:rPr>
              <w:t>联系人：</w:t>
            </w:r>
            <w:r>
              <w:rPr>
                <w:rFonts w:hint="eastAsia" w:ascii="宋体" w:hAnsi="宋体" w:cs="宋体"/>
                <w:color w:val="000000"/>
                <w:sz w:val="24"/>
                <w:lang w:val="en-US" w:eastAsia="zh-CN"/>
              </w:rPr>
              <w:t>高老师</w:t>
            </w:r>
            <w:r>
              <w:rPr>
                <w:rFonts w:hint="eastAsia" w:ascii="宋体" w:hAnsi="宋体" w:cs="宋体"/>
                <w:color w:val="000000"/>
                <w:sz w:val="24"/>
                <w:lang w:val="zh-CN"/>
              </w:rPr>
              <w:t xml:space="preserve">      </w:t>
            </w:r>
          </w:p>
          <w:p>
            <w:pPr>
              <w:spacing w:line="360" w:lineRule="auto"/>
              <w:ind w:right="99" w:rightChars="47"/>
              <w:rPr>
                <w:rFonts w:ascii="宋体" w:hAnsi="宋体" w:cs="宋体"/>
                <w:color w:val="000000"/>
                <w:sz w:val="24"/>
              </w:rPr>
            </w:pPr>
            <w:r>
              <w:rPr>
                <w:rFonts w:hint="eastAsia" w:ascii="宋体" w:hAnsi="宋体" w:cs="宋体"/>
                <w:color w:val="000000"/>
                <w:sz w:val="24"/>
                <w:lang w:val="zh-CN"/>
              </w:rPr>
              <w:t>联系电话：</w:t>
            </w:r>
            <w:r>
              <w:rPr>
                <w:rFonts w:hint="eastAsia" w:ascii="宋体" w:hAnsi="宋体" w:cs="宋体"/>
                <w:color w:val="000000"/>
                <w:sz w:val="24"/>
                <w:lang w:val="en-US" w:eastAsia="zh-CN"/>
              </w:rPr>
              <w:t>13228133989</w:t>
            </w:r>
          </w:p>
        </w:tc>
      </w:tr>
      <w:tr>
        <w:tblPrEx>
          <w:tblLayout w:type="fixed"/>
        </w:tblPrEx>
        <w:trPr>
          <w:trHeight w:val="5774" w:hRule="atLeast"/>
        </w:trPr>
        <w:tc>
          <w:tcPr>
            <w:tcW w:w="560" w:type="dxa"/>
            <w:tcBorders>
              <w:top w:val="single" w:color="auto" w:sz="4" w:space="0"/>
            </w:tcBorders>
            <w:vAlign w:val="center"/>
          </w:tcPr>
          <w:p>
            <w:pPr>
              <w:pStyle w:val="22"/>
              <w:spacing w:line="360" w:lineRule="auto"/>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1</w:t>
            </w:r>
          </w:p>
        </w:tc>
        <w:tc>
          <w:tcPr>
            <w:tcW w:w="2796" w:type="dxa"/>
            <w:tcBorders>
              <w:top w:val="single" w:color="auto" w:sz="4" w:space="0"/>
            </w:tcBorders>
            <w:vAlign w:val="center"/>
          </w:tcPr>
          <w:p>
            <w:pPr>
              <w:spacing w:line="360" w:lineRule="auto"/>
              <w:ind w:left="105" w:leftChars="50" w:right="105" w:rightChars="50"/>
              <w:jc w:val="center"/>
              <w:rPr>
                <w:rFonts w:ascii="宋体" w:hAnsi="宋体" w:cs="宋体"/>
                <w:color w:val="000000"/>
                <w:sz w:val="24"/>
              </w:rPr>
            </w:pPr>
            <w:r>
              <w:rPr>
                <w:rFonts w:hint="eastAsia" w:ascii="宋体" w:hAnsi="宋体" w:cs="宋体"/>
                <w:color w:val="000000"/>
                <w:sz w:val="24"/>
                <w:lang w:val="zh-CN"/>
              </w:rPr>
              <w:t>比选申请人询问、质疑</w:t>
            </w:r>
          </w:p>
        </w:tc>
        <w:tc>
          <w:tcPr>
            <w:tcW w:w="6283" w:type="dxa"/>
            <w:tcBorders>
              <w:top w:val="single" w:color="auto" w:sz="4" w:space="0"/>
            </w:tcBorders>
            <w:vAlign w:val="center"/>
          </w:tcPr>
          <w:p>
            <w:pPr>
              <w:tabs>
                <w:tab w:val="left" w:pos="7665"/>
              </w:tabs>
              <w:spacing w:line="360" w:lineRule="auto"/>
              <w:ind w:right="99" w:rightChars="47" w:firstLine="480" w:firstLineChars="200"/>
              <w:rPr>
                <w:rFonts w:ascii="宋体" w:hAnsi="宋体" w:cs="宋体"/>
                <w:color w:val="000000"/>
                <w:sz w:val="24"/>
                <w:lang w:val="zh-CN"/>
              </w:rPr>
            </w:pPr>
            <w:r>
              <w:rPr>
                <w:rFonts w:hint="eastAsia" w:ascii="宋体" w:hAnsi="宋体" w:cs="宋体"/>
                <w:color w:val="000000"/>
                <w:sz w:val="24"/>
                <w:lang w:val="zh-CN"/>
              </w:rPr>
              <w:t>对于比选文件、比选过程、比选结果由比选人和采购代理机构共同负责答复。</w:t>
            </w:r>
          </w:p>
          <w:p>
            <w:pPr>
              <w:tabs>
                <w:tab w:val="left" w:pos="7665"/>
              </w:tabs>
              <w:spacing w:line="360" w:lineRule="auto"/>
              <w:ind w:right="99" w:rightChars="47"/>
              <w:rPr>
                <w:rFonts w:ascii="宋体" w:hAnsi="宋体" w:cs="宋体"/>
                <w:color w:val="000000"/>
                <w:sz w:val="24"/>
                <w:lang w:val="zh-CN"/>
              </w:rPr>
            </w:pPr>
            <w:r>
              <w:rPr>
                <w:rFonts w:hint="eastAsia" w:ascii="宋体" w:hAnsi="宋体" w:cs="宋体"/>
                <w:color w:val="000000"/>
                <w:sz w:val="24"/>
                <w:lang w:val="zh-CN"/>
              </w:rPr>
              <w:t>比选人：成都汽车职业技术学校</w:t>
            </w:r>
          </w:p>
          <w:p>
            <w:pPr>
              <w:tabs>
                <w:tab w:val="left" w:pos="7665"/>
              </w:tabs>
              <w:spacing w:line="360" w:lineRule="auto"/>
              <w:ind w:right="99" w:rightChars="47"/>
              <w:rPr>
                <w:rFonts w:ascii="宋体" w:hAnsi="宋体" w:cs="宋体"/>
                <w:color w:val="000000"/>
                <w:sz w:val="24"/>
              </w:rPr>
            </w:pPr>
            <w:r>
              <w:rPr>
                <w:rFonts w:hint="eastAsia" w:ascii="宋体" w:hAnsi="宋体" w:cs="宋体"/>
                <w:color w:val="000000"/>
                <w:sz w:val="24"/>
                <w:lang w:val="zh-CN"/>
              </w:rPr>
              <w:t>地  址：</w:t>
            </w:r>
            <w:r>
              <w:rPr>
                <w:rFonts w:hint="eastAsia" w:ascii="宋体" w:hAnsi="宋体" w:cs="宋体"/>
                <w:bCs/>
                <w:color w:val="000000"/>
                <w:sz w:val="24"/>
                <w:shd w:val="clear" w:color="auto" w:fill="FFFFFF"/>
              </w:rPr>
              <w:t>成都市龙泉驿区同安街道幸福大道388号</w:t>
            </w:r>
          </w:p>
          <w:p>
            <w:pPr>
              <w:tabs>
                <w:tab w:val="left" w:pos="7665"/>
              </w:tabs>
              <w:spacing w:line="360" w:lineRule="auto"/>
              <w:ind w:right="99" w:rightChars="47"/>
              <w:rPr>
                <w:rFonts w:ascii="宋体" w:hAnsi="宋体" w:cs="宋体"/>
                <w:color w:val="000000"/>
                <w:sz w:val="24"/>
              </w:rPr>
            </w:pPr>
            <w:r>
              <w:rPr>
                <w:rFonts w:hint="eastAsia" w:ascii="宋体" w:hAnsi="宋体" w:cs="宋体"/>
                <w:color w:val="000000"/>
                <w:sz w:val="24"/>
                <w:lang w:val="zh-CN"/>
              </w:rPr>
              <w:t>联系人：</w:t>
            </w:r>
            <w:r>
              <w:rPr>
                <w:rFonts w:hint="eastAsia" w:ascii="宋体" w:hAnsi="宋体" w:cs="宋体"/>
                <w:color w:val="000000"/>
                <w:sz w:val="24"/>
              </w:rPr>
              <w:t>冯老师</w:t>
            </w:r>
          </w:p>
          <w:p>
            <w:pPr>
              <w:tabs>
                <w:tab w:val="left" w:pos="7665"/>
              </w:tabs>
              <w:spacing w:line="360" w:lineRule="auto"/>
              <w:ind w:right="99" w:rightChars="47"/>
              <w:rPr>
                <w:rFonts w:ascii="宋体" w:hAnsi="宋体" w:cs="宋体"/>
                <w:color w:val="000000"/>
                <w:sz w:val="24"/>
                <w:lang w:val="zh-CN"/>
              </w:rPr>
            </w:pPr>
            <w:r>
              <w:rPr>
                <w:rFonts w:hint="eastAsia" w:ascii="宋体" w:hAnsi="宋体" w:cs="宋体"/>
                <w:color w:val="000000"/>
                <w:sz w:val="24"/>
                <w:lang w:val="zh-CN"/>
              </w:rPr>
              <w:t>电  话：028-84851799</w:t>
            </w:r>
          </w:p>
          <w:p>
            <w:pPr>
              <w:spacing w:line="360" w:lineRule="auto"/>
              <w:ind w:right="99" w:rightChars="47"/>
              <w:rPr>
                <w:rFonts w:ascii="宋体" w:hAnsi="宋体" w:cs="宋体"/>
                <w:color w:val="000000"/>
                <w:sz w:val="24"/>
              </w:rPr>
            </w:pPr>
            <w:r>
              <w:rPr>
                <w:rFonts w:hint="eastAsia" w:ascii="宋体" w:hAnsi="宋体" w:cs="宋体"/>
                <w:color w:val="000000"/>
                <w:sz w:val="24"/>
                <w:lang w:val="zh-CN"/>
              </w:rPr>
              <w:t>注：</w:t>
            </w:r>
            <w:r>
              <w:rPr>
                <w:rFonts w:hint="eastAsia" w:ascii="宋体" w:hAnsi="宋体" w:cs="宋体"/>
                <w:color w:val="000000"/>
                <w:sz w:val="24"/>
              </w:rPr>
              <w:t>参照</w:t>
            </w:r>
            <w:r>
              <w:rPr>
                <w:rFonts w:hint="eastAsia" w:ascii="宋体" w:hAnsi="宋体" w:cs="宋体"/>
                <w:color w:val="000000"/>
                <w:sz w:val="24"/>
                <w:lang w:val="zh-CN"/>
              </w:rPr>
              <w:t>《中华人民共和国政府采购法》等规定，比选申请人询问、质疑不得超出比选文件、比选过程、比选结果的范围。</w:t>
            </w:r>
          </w:p>
        </w:tc>
      </w:tr>
      <w:tr>
        <w:tblPrEx>
          <w:tblLayout w:type="fixed"/>
        </w:tblPrEx>
        <w:trPr>
          <w:trHeight w:val="841" w:hRule="atLeast"/>
        </w:trPr>
        <w:tc>
          <w:tcPr>
            <w:tcW w:w="560" w:type="dxa"/>
            <w:vAlign w:val="center"/>
          </w:tcPr>
          <w:p>
            <w:pPr>
              <w:pStyle w:val="22"/>
              <w:spacing w:line="360" w:lineRule="auto"/>
              <w:jc w:val="center"/>
              <w:rPr>
                <w:rFonts w:hint="eastAsia" w:eastAsia="宋体"/>
                <w:color w:val="000000"/>
                <w:lang w:eastAsia="zh-CN"/>
              </w:rPr>
            </w:pPr>
            <w:r>
              <w:rPr>
                <w:rFonts w:hint="eastAsia"/>
                <w:color w:val="000000"/>
              </w:rPr>
              <w:t>1</w:t>
            </w:r>
            <w:r>
              <w:rPr>
                <w:rFonts w:hint="eastAsia"/>
                <w:color w:val="000000"/>
                <w:lang w:val="en-US" w:eastAsia="zh-CN"/>
              </w:rPr>
              <w:t>2</w:t>
            </w:r>
          </w:p>
        </w:tc>
        <w:tc>
          <w:tcPr>
            <w:tcW w:w="2796" w:type="dxa"/>
            <w:tcBorders>
              <w:right w:val="single" w:color="auto" w:sz="4" w:space="0"/>
            </w:tcBorders>
            <w:vAlign w:val="center"/>
          </w:tcPr>
          <w:p>
            <w:pPr>
              <w:pStyle w:val="22"/>
              <w:spacing w:line="360" w:lineRule="auto"/>
              <w:ind w:firstLine="240" w:firstLineChars="100"/>
              <w:jc w:val="center"/>
              <w:rPr>
                <w:color w:val="000000"/>
              </w:rPr>
            </w:pPr>
            <w:r>
              <w:rPr>
                <w:rFonts w:hint="eastAsia"/>
                <w:color w:val="000000"/>
              </w:rPr>
              <w:t>严禁转包和违法分包</w:t>
            </w:r>
          </w:p>
          <w:p>
            <w:pPr>
              <w:pStyle w:val="22"/>
              <w:spacing w:line="360" w:lineRule="auto"/>
              <w:ind w:firstLine="240" w:firstLineChars="100"/>
              <w:jc w:val="center"/>
              <w:rPr>
                <w:color w:val="000000"/>
              </w:rPr>
            </w:pPr>
            <w:r>
              <w:rPr>
                <w:rFonts w:hint="eastAsia"/>
                <w:color w:val="000000"/>
              </w:rPr>
              <w:t>（实质性要求）</w:t>
            </w:r>
          </w:p>
        </w:tc>
        <w:tc>
          <w:tcPr>
            <w:tcW w:w="6283" w:type="dxa"/>
            <w:tcBorders>
              <w:left w:val="single" w:color="auto" w:sz="4" w:space="0"/>
            </w:tcBorders>
            <w:vAlign w:val="center"/>
          </w:tcPr>
          <w:p>
            <w:pPr>
              <w:pStyle w:val="22"/>
              <w:spacing w:line="360" w:lineRule="auto"/>
              <w:ind w:firstLine="480" w:firstLineChars="200"/>
              <w:rPr>
                <w:color w:val="000000"/>
              </w:rPr>
            </w:pPr>
            <w:r>
              <w:rPr>
                <w:rFonts w:hint="eastAsia"/>
                <w:color w:val="000000"/>
              </w:rPr>
              <w:t>严禁转包和违法分包。凡比选文件未明确可以分包的，中选比选申请人不得进行任何形式的分包。</w:t>
            </w:r>
          </w:p>
        </w:tc>
      </w:tr>
      <w:tr>
        <w:tblPrEx>
          <w:tblLayout w:type="fixed"/>
        </w:tblPrEx>
        <w:trPr>
          <w:trHeight w:val="841" w:hRule="atLeast"/>
        </w:trPr>
        <w:tc>
          <w:tcPr>
            <w:tcW w:w="560" w:type="dxa"/>
            <w:vAlign w:val="center"/>
          </w:tcPr>
          <w:p>
            <w:pPr>
              <w:pStyle w:val="22"/>
              <w:spacing w:line="360" w:lineRule="auto"/>
              <w:jc w:val="center"/>
              <w:rPr>
                <w:rFonts w:hint="default" w:eastAsia="宋体"/>
                <w:color w:val="000000"/>
                <w:kern w:val="2"/>
                <w:lang w:val="en-US" w:eastAsia="zh-CN"/>
              </w:rPr>
            </w:pPr>
            <w:r>
              <w:rPr>
                <w:rFonts w:hint="eastAsia"/>
                <w:color w:val="000000"/>
                <w:lang w:val="en-US" w:eastAsia="zh-CN"/>
              </w:rPr>
              <w:t>13</w:t>
            </w:r>
          </w:p>
        </w:tc>
        <w:tc>
          <w:tcPr>
            <w:tcW w:w="2796" w:type="dxa"/>
            <w:tcBorders>
              <w:right w:val="single" w:color="auto" w:sz="4" w:space="0"/>
            </w:tcBorders>
            <w:vAlign w:val="center"/>
          </w:tcPr>
          <w:p>
            <w:pPr>
              <w:pStyle w:val="22"/>
              <w:spacing w:line="360" w:lineRule="auto"/>
              <w:ind w:firstLine="240" w:firstLineChars="100"/>
              <w:jc w:val="center"/>
              <w:rPr>
                <w:color w:val="000000"/>
              </w:rPr>
            </w:pPr>
            <w:r>
              <w:rPr>
                <w:rFonts w:hint="eastAsia"/>
                <w:color w:val="000000"/>
              </w:rPr>
              <w:t>备注</w:t>
            </w:r>
          </w:p>
        </w:tc>
        <w:tc>
          <w:tcPr>
            <w:tcW w:w="6283" w:type="dxa"/>
            <w:tcBorders>
              <w:left w:val="single" w:color="auto" w:sz="4" w:space="0"/>
            </w:tcBorders>
            <w:vAlign w:val="center"/>
          </w:tcPr>
          <w:p>
            <w:pPr>
              <w:pStyle w:val="22"/>
              <w:spacing w:line="360" w:lineRule="auto"/>
              <w:ind w:firstLine="480" w:firstLineChars="200"/>
              <w:rPr>
                <w:color w:val="000000"/>
                <w:lang w:val="zh-CN"/>
              </w:rPr>
            </w:pPr>
            <w:r>
              <w:rPr>
                <w:rFonts w:hint="eastAsia"/>
                <w:color w:val="000000"/>
              </w:rPr>
              <w:t>若比选文件中其他与比选申请人须知表内容不一致的，以比选申请人须知表为准。</w:t>
            </w:r>
          </w:p>
        </w:tc>
      </w:tr>
    </w:tbl>
    <w:p>
      <w:pPr>
        <w:numPr>
          <w:ilvl w:val="0"/>
          <w:numId w:val="3"/>
        </w:numPr>
        <w:jc w:val="left"/>
        <w:rPr>
          <w:rFonts w:ascii="宋体" w:hAnsi="宋体" w:eastAsia="宋体" w:cs="宋体"/>
          <w:b/>
          <w:bCs/>
          <w:sz w:val="32"/>
          <w:szCs w:val="32"/>
        </w:rPr>
      </w:pPr>
      <w:r>
        <w:rPr>
          <w:rFonts w:hint="eastAsia" w:ascii="宋体" w:hAnsi="宋体" w:eastAsia="宋体" w:cs="宋体"/>
          <w:b/>
          <w:bCs/>
          <w:sz w:val="32"/>
          <w:szCs w:val="32"/>
        </w:rPr>
        <w:t>比选项目服务内容、服务要求</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一、项目概述：</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1、比选人名称：成都汽车职业技术学校</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2、项目名称：成都汽车职业技术学校生活垃圾清运服务项目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3、项目简介：在成都汽车职业技术学校校园内每天在规定时间内完成放置在规定地点的4个封闭式垃圾箱里的生活垃圾清运工作。</w:t>
      </w:r>
    </w:p>
    <w:p>
      <w:pPr>
        <w:spacing w:line="360" w:lineRule="auto"/>
        <w:ind w:firstLine="482" w:firstLineChars="200"/>
        <w:rPr>
          <w:rFonts w:hint="eastAsia" w:ascii="宋体" w:hAnsi="宋体" w:eastAsia="宋体" w:cs="宋体"/>
          <w:b/>
          <w:bCs/>
          <w:color w:val="000000"/>
          <w:sz w:val="24"/>
          <w:szCs w:val="24"/>
          <w:highlight w:val="yellow"/>
          <w:lang w:val="en-US" w:eastAsia="zh-CN"/>
        </w:rPr>
      </w:pPr>
      <w:r>
        <w:rPr>
          <w:rFonts w:hint="eastAsia" w:ascii="宋体" w:hAnsi="宋体" w:eastAsia="宋体" w:cs="宋体"/>
          <w:b/>
          <w:bCs/>
          <w:color w:val="000000"/>
          <w:sz w:val="24"/>
          <w:szCs w:val="24"/>
          <w:highlight w:val="yellow"/>
          <w:lang w:val="en-US" w:eastAsia="zh-CN"/>
        </w:rPr>
        <w:t>4、项目时间：2024年-2026年生活垃圾清运服务项目</w:t>
      </w:r>
    </w:p>
    <w:p>
      <w:pPr>
        <w:spacing w:line="360" w:lineRule="auto"/>
        <w:ind w:firstLine="482" w:firstLineChars="200"/>
        <w:rPr>
          <w:rFonts w:hint="default" w:ascii="宋体" w:hAnsi="宋体" w:eastAsia="宋体" w:cs="宋体"/>
          <w:b/>
          <w:bCs/>
          <w:color w:val="000000"/>
          <w:sz w:val="24"/>
          <w:szCs w:val="24"/>
          <w:highlight w:val="yellow"/>
          <w:lang w:val="en-US" w:eastAsia="zh-CN"/>
        </w:rPr>
      </w:pPr>
      <w:r>
        <w:rPr>
          <w:rFonts w:hint="eastAsia" w:ascii="宋体" w:hAnsi="宋体" w:eastAsia="宋体" w:cs="宋体"/>
          <w:b/>
          <w:bCs/>
          <w:color w:val="000000"/>
          <w:sz w:val="24"/>
          <w:szCs w:val="24"/>
          <w:highlight w:val="yellow"/>
          <w:lang w:val="en-US" w:eastAsia="zh-CN"/>
        </w:rPr>
        <w:t>5、合同签订方式：合同按年签订，其他约定详见合同。</w:t>
      </w:r>
    </w:p>
    <w:p>
      <w:pPr>
        <w:spacing w:line="360" w:lineRule="auto"/>
        <w:rPr>
          <w:rFonts w:ascii="宋体" w:hAnsi="宋体" w:eastAsia="宋体" w:cs="宋体"/>
          <w:b/>
          <w:color w:val="000000"/>
          <w:sz w:val="28"/>
          <w:szCs w:val="28"/>
          <w:highlight w:val="yellow"/>
        </w:rPr>
      </w:pPr>
      <w:r>
        <w:rPr>
          <w:rFonts w:hint="eastAsia" w:ascii="宋体" w:hAnsi="宋体" w:eastAsia="宋体" w:cs="宋体"/>
          <w:b/>
          <w:bCs/>
          <w:color w:val="000000"/>
          <w:sz w:val="24"/>
          <w:szCs w:val="24"/>
        </w:rPr>
        <w:t>二</w:t>
      </w:r>
      <w:r>
        <w:rPr>
          <w:rFonts w:hint="eastAsia" w:ascii="宋体" w:hAnsi="宋体" w:eastAsia="宋体" w:cs="宋体"/>
          <w:b/>
          <w:color w:val="000000"/>
          <w:sz w:val="28"/>
          <w:szCs w:val="28"/>
        </w:rPr>
        <w:t>、服务要求</w:t>
      </w:r>
    </w:p>
    <w:p>
      <w:pPr>
        <w:widowControl/>
        <w:spacing w:line="360" w:lineRule="auto"/>
        <w:ind w:firstLine="641" w:firstLineChars="266"/>
        <w:rPr>
          <w:rFonts w:ascii="宋体" w:hAnsi="宋体" w:eastAsia="宋体" w:cs="宋体"/>
          <w:color w:val="000000"/>
          <w:sz w:val="24"/>
          <w:szCs w:val="24"/>
        </w:rPr>
      </w:pPr>
      <w:r>
        <w:rPr>
          <w:rFonts w:hint="eastAsia" w:ascii="宋体" w:hAnsi="宋体" w:eastAsia="宋体" w:cs="宋体"/>
          <w:b/>
          <w:bCs/>
          <w:color w:val="000000"/>
          <w:sz w:val="24"/>
          <w:szCs w:val="24"/>
        </w:rPr>
        <w:t>（一）总体要求：</w:t>
      </w:r>
      <w:r>
        <w:rPr>
          <w:rFonts w:hint="eastAsia" w:ascii="宋体" w:hAnsi="宋体" w:eastAsia="宋体" w:cs="宋体"/>
          <w:color w:val="000000"/>
          <w:sz w:val="24"/>
          <w:szCs w:val="24"/>
        </w:rPr>
        <w:t>比选申请人在采购人指定时间内完成放置在规定地点的封闭式垃圾箱里的生活垃圾清运工作。</w:t>
      </w:r>
    </w:p>
    <w:p>
      <w:pPr>
        <w:widowControl/>
        <w:spacing w:line="360" w:lineRule="auto"/>
        <w:ind w:firstLine="641" w:firstLineChars="266"/>
        <w:rPr>
          <w:rFonts w:ascii="宋体" w:hAnsi="宋体" w:eastAsia="宋体" w:cs="宋体"/>
          <w:b/>
          <w:bCs/>
          <w:color w:val="000000"/>
          <w:sz w:val="24"/>
          <w:szCs w:val="24"/>
        </w:rPr>
      </w:pPr>
      <w:r>
        <w:rPr>
          <w:rFonts w:hint="eastAsia" w:ascii="宋体" w:hAnsi="宋体" w:eastAsia="宋体" w:cs="宋体"/>
          <w:b/>
          <w:bCs/>
          <w:color w:val="000000"/>
          <w:sz w:val="24"/>
          <w:szCs w:val="24"/>
        </w:rPr>
        <w:t>（二）垃圾清运具体安排及执行标准：</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1.每天上午安排环卫专用车对学校总校区生活垃圾进行清运（车辆驾驶人员为按照交通法规规定的准驾情况配备的相应驾驶人员）；</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2.垃圾清运工作每天进行一次，垃圾清运时间为：上午6:00-8:00，清运工作必须在当天上午8:00前完成；</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3.中选单位应为环卫作业人员配备必需的作业工具，如专用扫帚、密闭式撮箕、垃圾袋、洗涤剂、铁铲等。</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4.因学校工作的特殊性，每年毕业生离校、每学期开学及学校举行重大活动之时，清运次数增加为每天两次（采购人提前通知，全年不超过10次）；</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5.垃圾点的垃圾每次清运完之后，要对卫生设施设备按规定摆放，整齐有序；</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6.清运后周围地面无垃圾散落留物及污水，保证垃圾箱内无残留垃圾，周围卫生整洁。保持地面干净整洁，无明显异味，确保不影响校园环境卫生；</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7.垃圾车运输必须密闭运输，严禁超限超速和沿途洒漏，并保持车容整洁；进入校园垃圾车执行严格限速标准，不得超速、鸣笛；</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8.服务人员必须着统一工作服上岗，严格遵守相关规章制度；</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9.严禁在垃圾房（点）翻捡、焚烧垃圾或存在其他污染校园环境的行为。</w:t>
      </w:r>
    </w:p>
    <w:p>
      <w:pPr>
        <w:widowControl/>
        <w:spacing w:line="360" w:lineRule="auto"/>
        <w:ind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10.垃圾的校外运输、堆放应当符合法律法规、国家及地方政府的有关规定及行业标准。</w:t>
      </w:r>
    </w:p>
    <w:p>
      <w:pPr>
        <w:widowControl/>
        <w:numPr>
          <w:ilvl w:val="255"/>
          <w:numId w:val="0"/>
        </w:numPr>
        <w:spacing w:line="360" w:lineRule="auto"/>
        <w:jc w:val="left"/>
        <w:rPr>
          <w:rFonts w:ascii="宋体" w:hAnsi="宋体" w:eastAsia="宋体" w:cs="宋体"/>
          <w:b/>
          <w:bCs/>
          <w:color w:val="000000"/>
          <w:sz w:val="28"/>
          <w:szCs w:val="28"/>
        </w:rPr>
      </w:pPr>
      <w:r>
        <w:rPr>
          <w:rFonts w:hint="eastAsia" w:ascii="宋体" w:hAnsi="宋体" w:eastAsia="宋体" w:cs="宋体"/>
          <w:b/>
          <w:bCs/>
          <w:color w:val="000000"/>
          <w:sz w:val="28"/>
          <w:szCs w:val="28"/>
        </w:rPr>
        <w:t>★三、其他要求</w:t>
      </w:r>
    </w:p>
    <w:p>
      <w:pPr>
        <w:widowControl/>
        <w:numPr>
          <w:ilvl w:val="255"/>
          <w:numId w:val="0"/>
        </w:numPr>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1、比选申请人聘用人员的工资不得低于当地最低工资标准，在参加比选活动时应综合考虑最低工资标准调整等政策变化因素，如遇最低工资标准调整等政策变化原因导致比选申请人运营成本增加，比选申请人应自行解决，采购人不承担任何与此相关的费用。</w:t>
      </w:r>
      <w:r>
        <w:rPr>
          <w:rFonts w:hint="eastAsia" w:ascii="宋体" w:hAnsi="宋体" w:eastAsia="宋体" w:cs="宋体"/>
          <w:b/>
          <w:bCs/>
          <w:sz w:val="24"/>
          <w:szCs w:val="24"/>
        </w:rPr>
        <w:t>（比选申请人须提供承诺函，并且加盖单位公章）</w:t>
      </w:r>
    </w:p>
    <w:p>
      <w:pPr>
        <w:spacing w:line="360" w:lineRule="auto"/>
        <w:ind w:left="480"/>
        <w:rPr>
          <w:rFonts w:ascii="宋体" w:hAnsi="宋体" w:eastAsia="宋体" w:cs="宋体"/>
          <w:sz w:val="24"/>
          <w:szCs w:val="24"/>
        </w:rPr>
      </w:pPr>
      <w:r>
        <w:rPr>
          <w:rFonts w:hint="eastAsia" w:ascii="宋体" w:hAnsi="宋体" w:eastAsia="宋体" w:cs="宋体"/>
          <w:sz w:val="24"/>
          <w:szCs w:val="24"/>
        </w:rPr>
        <w:t>2、在服务期间内出现各种事故（包括但不限于劳资纠纷、安全、交通、意外、疾病或其</w:t>
      </w:r>
    </w:p>
    <w:p>
      <w:pPr>
        <w:spacing w:line="360" w:lineRule="auto"/>
        <w:rPr>
          <w:rFonts w:ascii="宋体" w:hAnsi="宋体" w:eastAsia="宋体" w:cs="宋体"/>
          <w:b/>
          <w:bCs/>
          <w:color w:val="000000"/>
          <w:sz w:val="28"/>
          <w:szCs w:val="28"/>
        </w:rPr>
      </w:pPr>
      <w:r>
        <w:rPr>
          <w:rFonts w:hint="eastAsia" w:ascii="宋体" w:hAnsi="宋体" w:eastAsia="宋体" w:cs="宋体"/>
          <w:sz w:val="24"/>
          <w:szCs w:val="24"/>
        </w:rPr>
        <w:t>他伤亡事故），由中选单位承担全部责任</w:t>
      </w:r>
      <w:r>
        <w:rPr>
          <w:rFonts w:hint="eastAsia" w:ascii="宋体" w:hAnsi="宋体" w:eastAsia="宋体" w:cs="宋体"/>
          <w:b/>
          <w:bCs/>
          <w:sz w:val="24"/>
          <w:szCs w:val="24"/>
        </w:rPr>
        <w:t>（比选申请人须提供承诺函，并且加盖单位公章）。</w:t>
      </w:r>
      <w:bookmarkStart w:id="4" w:name="_Toc27944"/>
      <w:bookmarkStart w:id="5" w:name="_Toc21390"/>
      <w:bookmarkStart w:id="6" w:name="_Toc3071"/>
      <w:bookmarkStart w:id="7" w:name="_Toc29050"/>
      <w:r>
        <w:rPr>
          <w:rFonts w:hint="eastAsia" w:ascii="宋体" w:hAnsi="宋体" w:eastAsia="宋体" w:cs="宋体"/>
          <w:b/>
          <w:bCs/>
          <w:color w:val="000000"/>
          <w:sz w:val="28"/>
          <w:szCs w:val="28"/>
        </w:rPr>
        <w:t xml:space="preserve">★四、商务要求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1、服务时间：自合同签订之日起两年，合同一年一签；</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2、服务地点：成都汽车职业技术学校内采购人指定地点；</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3、付款方式：</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（1）乙方每6个月发起一次支付申请，经甲方确认后30个工作日内支付给乙方。</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（2）乙方须向甲方提供合法有效的等额有效发票及账户信息。</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报价：本项目报价包括服务内容、人工、车辆、清洁费、运输费、管理费、税费、保险、利润等一切费用。比选申请人应根据本项目的实际情况与自身现实情况，并充分考虑不确定性因素可能导致的风险自行报价。若因比选申请人自身原因造成的漏报、错报而导致重复工作成本，由比选申请人自行负责，采购人不承担任何其他费用。</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5、履约验收：按照比选文件、响应文件及《财政部关于进一步加强政府采购需求和履约验收管理的指导意见》（财库〔2016〕205号）的要求进行验收。</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6、其他未尽事宜：签订合同时约定。</w:t>
      </w:r>
    </w:p>
    <w:p>
      <w:pPr>
        <w:spacing w:line="360" w:lineRule="auto"/>
        <w:ind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rPr>
        <w:t>注：以上带“★”条款为实质性要求，不允许负偏离，否则视为无效投标。</w:t>
      </w:r>
    </w:p>
    <w:bookmarkEnd w:id="4"/>
    <w:bookmarkEnd w:id="5"/>
    <w:bookmarkEnd w:id="6"/>
    <w:bookmarkEnd w:id="7"/>
    <w:p>
      <w:pPr>
        <w:numPr>
          <w:ilvl w:val="0"/>
          <w:numId w:val="0"/>
        </w:numPr>
        <w:jc w:val="left"/>
        <w:rPr>
          <w:rFonts w:ascii="宋体" w:hAnsi="宋体" w:eastAsia="宋体" w:cs="宋体"/>
          <w:sz w:val="32"/>
          <w:szCs w:val="32"/>
        </w:rPr>
      </w:pPr>
      <w:r>
        <w:rPr>
          <w:rFonts w:hint="eastAsia" w:ascii="宋体" w:hAnsi="宋体" w:eastAsia="宋体" w:cs="宋体"/>
          <w:b/>
          <w:bCs/>
          <w:color w:val="000000"/>
          <w:kern w:val="2"/>
          <w:sz w:val="32"/>
          <w:szCs w:val="32"/>
          <w:lang w:val="en-US" w:eastAsia="zh-CN" w:bidi="ar-SA"/>
        </w:rPr>
        <w:br w:type="page"/>
      </w: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4"/>
        </w:numPr>
        <w:jc w:val="left"/>
        <w:rPr>
          <w:rFonts w:hint="eastAsia" w:ascii="宋体" w:hAnsi="宋体" w:eastAsia="宋体" w:cs="宋体"/>
          <w:b/>
          <w:bCs/>
          <w:color w:val="FF0000"/>
          <w:sz w:val="32"/>
          <w:szCs w:val="32"/>
        </w:rPr>
      </w:pPr>
      <w:r>
        <w:rPr>
          <w:rFonts w:hint="eastAsia" w:ascii="宋体" w:hAnsi="宋体" w:eastAsia="宋体" w:cs="宋体"/>
          <w:sz w:val="32"/>
          <w:szCs w:val="32"/>
        </w:rPr>
        <w:t>招标方式：</w:t>
      </w:r>
      <w:r>
        <w:rPr>
          <w:rFonts w:hint="eastAsia" w:ascii="宋体" w:hAnsi="宋体" w:eastAsia="宋体" w:cs="宋体"/>
          <w:b/>
          <w:bCs/>
          <w:color w:val="FF0000"/>
          <w:sz w:val="32"/>
          <w:szCs w:val="32"/>
        </w:rPr>
        <w:t>综合评分明细表</w:t>
      </w:r>
    </w:p>
    <w:tbl>
      <w:tblPr>
        <w:tblStyle w:val="13"/>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05"/>
        <w:gridCol w:w="810"/>
        <w:gridCol w:w="5820"/>
        <w:gridCol w:w="975"/>
      </w:tblGrid>
      <w:tr>
        <w:tblPrEx>
          <w:tblLayout w:type="fixed"/>
        </w:tblPrEx>
        <w:trPr>
          <w:trHeight w:val="586" w:hRule="atLeast"/>
          <w:jc w:val="center"/>
        </w:trPr>
        <w:tc>
          <w:tcPr>
            <w:tcW w:w="741" w:type="dxa"/>
            <w:vAlign w:val="center"/>
          </w:tcPr>
          <w:p>
            <w:pPr>
              <w:pStyle w:val="6"/>
              <w:spacing w:line="360" w:lineRule="auto"/>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305" w:type="dxa"/>
            <w:vAlign w:val="center"/>
          </w:tcPr>
          <w:p>
            <w:pPr>
              <w:pStyle w:val="6"/>
              <w:spacing w:line="360" w:lineRule="auto"/>
              <w:jc w:val="center"/>
              <w:rPr>
                <w:rFonts w:ascii="宋体" w:hAnsi="宋体" w:cs="宋体"/>
                <w:b/>
                <w:bCs/>
                <w:color w:val="000000"/>
                <w:sz w:val="22"/>
                <w:szCs w:val="22"/>
              </w:rPr>
            </w:pPr>
            <w:r>
              <w:rPr>
                <w:rFonts w:hint="eastAsia" w:ascii="宋体" w:hAnsi="宋体" w:cs="宋体"/>
                <w:b/>
                <w:bCs/>
                <w:color w:val="000000"/>
                <w:sz w:val="22"/>
                <w:szCs w:val="22"/>
              </w:rPr>
              <w:t>评分因素</w:t>
            </w:r>
          </w:p>
        </w:tc>
        <w:tc>
          <w:tcPr>
            <w:tcW w:w="810" w:type="dxa"/>
            <w:vAlign w:val="center"/>
          </w:tcPr>
          <w:p>
            <w:pPr>
              <w:pStyle w:val="6"/>
              <w:spacing w:line="360" w:lineRule="auto"/>
              <w:jc w:val="center"/>
              <w:rPr>
                <w:rFonts w:ascii="宋体" w:hAnsi="宋体" w:cs="宋体"/>
                <w:b/>
                <w:bCs/>
                <w:color w:val="000000"/>
                <w:sz w:val="22"/>
                <w:szCs w:val="22"/>
              </w:rPr>
            </w:pPr>
            <w:r>
              <w:rPr>
                <w:rFonts w:hint="eastAsia" w:ascii="宋体" w:hAnsi="宋体" w:cs="宋体"/>
                <w:b/>
                <w:bCs/>
                <w:color w:val="000000"/>
                <w:sz w:val="22"/>
                <w:szCs w:val="22"/>
              </w:rPr>
              <w:t>分值</w:t>
            </w:r>
          </w:p>
        </w:tc>
        <w:tc>
          <w:tcPr>
            <w:tcW w:w="5820" w:type="dxa"/>
            <w:vAlign w:val="center"/>
          </w:tcPr>
          <w:p>
            <w:pPr>
              <w:pStyle w:val="6"/>
              <w:spacing w:line="360" w:lineRule="auto"/>
              <w:jc w:val="center"/>
              <w:rPr>
                <w:rFonts w:ascii="宋体" w:hAnsi="宋体" w:cs="宋体"/>
                <w:b/>
                <w:bCs/>
                <w:color w:val="000000"/>
                <w:sz w:val="22"/>
                <w:szCs w:val="22"/>
              </w:rPr>
            </w:pPr>
            <w:r>
              <w:rPr>
                <w:rFonts w:hint="eastAsia" w:ascii="宋体" w:hAnsi="宋体" w:cs="宋体"/>
                <w:b/>
                <w:bCs/>
                <w:color w:val="000000"/>
                <w:sz w:val="22"/>
                <w:szCs w:val="22"/>
              </w:rPr>
              <w:t>评分要求</w:t>
            </w:r>
          </w:p>
        </w:tc>
        <w:tc>
          <w:tcPr>
            <w:tcW w:w="975" w:type="dxa"/>
            <w:vAlign w:val="center"/>
          </w:tcPr>
          <w:p>
            <w:pPr>
              <w:pStyle w:val="6"/>
              <w:spacing w:line="360" w:lineRule="auto"/>
              <w:jc w:val="center"/>
              <w:rPr>
                <w:rFonts w:ascii="宋体" w:hAnsi="宋体" w:cs="宋体"/>
                <w:b/>
                <w:bCs/>
                <w:color w:val="000000"/>
                <w:sz w:val="22"/>
                <w:szCs w:val="22"/>
              </w:rPr>
            </w:pPr>
            <w:r>
              <w:rPr>
                <w:rFonts w:hint="eastAsia" w:ascii="宋体" w:hAnsi="宋体" w:cs="宋体"/>
                <w:b/>
                <w:bCs/>
                <w:color w:val="000000"/>
                <w:sz w:val="22"/>
                <w:szCs w:val="22"/>
              </w:rPr>
              <w:t>说明</w:t>
            </w:r>
          </w:p>
        </w:tc>
      </w:tr>
      <w:tr>
        <w:tblPrEx>
          <w:tblLayout w:type="fixed"/>
        </w:tblPrEx>
        <w:trPr>
          <w:trHeight w:val="1491" w:hRule="atLeast"/>
          <w:jc w:val="center"/>
        </w:trPr>
        <w:tc>
          <w:tcPr>
            <w:tcW w:w="741"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1</w:t>
            </w:r>
          </w:p>
        </w:tc>
        <w:tc>
          <w:tcPr>
            <w:tcW w:w="1305"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报价20%</w:t>
            </w:r>
          </w:p>
        </w:tc>
        <w:tc>
          <w:tcPr>
            <w:tcW w:w="810"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20分</w:t>
            </w:r>
          </w:p>
        </w:tc>
        <w:tc>
          <w:tcPr>
            <w:tcW w:w="5820" w:type="dxa"/>
            <w:vAlign w:val="center"/>
          </w:tcPr>
          <w:p>
            <w:pPr>
              <w:spacing w:line="360" w:lineRule="auto"/>
              <w:jc w:val="left"/>
              <w:rPr>
                <w:rFonts w:ascii="宋体" w:hAnsi="宋体" w:cs="宋体"/>
                <w:bCs/>
                <w:color w:val="000000"/>
                <w:sz w:val="22"/>
                <w:szCs w:val="22"/>
              </w:rPr>
            </w:pPr>
            <w:r>
              <w:rPr>
                <w:rFonts w:hint="eastAsia" w:ascii="宋体" w:hAnsi="宋体" w:cs="宋体"/>
                <w:bCs/>
                <w:color w:val="000000"/>
                <w:sz w:val="22"/>
                <w:szCs w:val="22"/>
              </w:rPr>
              <w:t>满足比选文件要求且价格最低的比选报价为基准价，其价格分为满分。其他比选报价得分=(基准价／比选报价)×20；</w:t>
            </w:r>
          </w:p>
        </w:tc>
        <w:tc>
          <w:tcPr>
            <w:tcW w:w="975"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共同评审因素</w:t>
            </w:r>
          </w:p>
        </w:tc>
      </w:tr>
      <w:tr>
        <w:tblPrEx>
          <w:tblLayout w:type="fixed"/>
        </w:tblPrEx>
        <w:trPr>
          <w:trHeight w:val="718" w:hRule="atLeast"/>
          <w:jc w:val="center"/>
        </w:trPr>
        <w:tc>
          <w:tcPr>
            <w:tcW w:w="741"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2</w:t>
            </w:r>
          </w:p>
        </w:tc>
        <w:tc>
          <w:tcPr>
            <w:tcW w:w="1305"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服务方案50%</w:t>
            </w:r>
          </w:p>
        </w:tc>
        <w:tc>
          <w:tcPr>
            <w:tcW w:w="810"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50分</w:t>
            </w:r>
          </w:p>
        </w:tc>
        <w:tc>
          <w:tcPr>
            <w:tcW w:w="5820" w:type="dxa"/>
            <w:vAlign w:val="center"/>
          </w:tcPr>
          <w:p>
            <w:pPr>
              <w:spacing w:line="360" w:lineRule="auto"/>
              <w:rPr>
                <w:rFonts w:ascii="宋体" w:hAnsi="宋体" w:cs="宋体"/>
                <w:bCs/>
                <w:color w:val="000000"/>
                <w:sz w:val="22"/>
                <w:szCs w:val="22"/>
              </w:rPr>
            </w:pPr>
            <w:r>
              <w:rPr>
                <w:rFonts w:hint="eastAsia" w:ascii="宋体" w:hAnsi="宋体" w:cs="宋体"/>
                <w:bCs/>
                <w:color w:val="000000"/>
                <w:spacing w:val="11"/>
                <w:sz w:val="22"/>
                <w:szCs w:val="22"/>
              </w:rPr>
              <w:t>根据比选申请人提供的服务方案进行综合评分，内容包括但不限于：①拟对本项目的人员安排、②岗位分配及工作职责、③项目实施方案、④人员安全培训管理制度、⑤日常管理制度、⑥考核办法、⑦服务质量保障措施、⑧突发事件应急方案、⑨安全文明实施保障措施、⑩</w:t>
            </w:r>
            <w:r>
              <w:rPr>
                <w:rFonts w:hint="eastAsia" w:ascii="宋体" w:hAnsi="宋体" w:cs="宋体"/>
                <w:bCs/>
                <w:color w:val="000000"/>
                <w:spacing w:val="11"/>
                <w:sz w:val="22"/>
              </w:rPr>
              <w:t>极端天气的处理预案</w:t>
            </w:r>
            <w:r>
              <w:rPr>
                <w:rFonts w:hint="eastAsia" w:ascii="宋体" w:hAnsi="宋体" w:cs="宋体"/>
                <w:bCs/>
                <w:color w:val="000000"/>
                <w:spacing w:val="11"/>
                <w:sz w:val="22"/>
                <w:szCs w:val="22"/>
              </w:rPr>
              <w:t>，方案包含以上10项所有内容得50分；每缺一项扣5分，每有一处具有缺陷（缺陷是指：方案内容不适用项目特性的情形、凭空编造、内容不完整或缺少关键节点、套用其他项目方案、内容前后矛盾、涉及的规范及标准错误、不利于项目实施、不可能实现的情形等任意一种情形）的扣2.5分，扣完为止。</w:t>
            </w:r>
          </w:p>
        </w:tc>
        <w:tc>
          <w:tcPr>
            <w:tcW w:w="975" w:type="dxa"/>
            <w:vAlign w:val="center"/>
          </w:tcPr>
          <w:p>
            <w:pPr>
              <w:spacing w:line="360" w:lineRule="auto"/>
              <w:jc w:val="center"/>
              <w:rPr>
                <w:rFonts w:ascii="宋体" w:hAnsi="宋体" w:cs="宋体"/>
                <w:bCs/>
                <w:color w:val="000000"/>
                <w:kern w:val="0"/>
                <w:sz w:val="22"/>
                <w:szCs w:val="22"/>
              </w:rPr>
            </w:pPr>
            <w:r>
              <w:rPr>
                <w:rFonts w:hint="eastAsia" w:ascii="宋体" w:hAnsi="宋体" w:cs="宋体"/>
                <w:bCs/>
                <w:color w:val="000000"/>
                <w:sz w:val="22"/>
                <w:szCs w:val="22"/>
              </w:rPr>
              <w:t>共同评审因素</w:t>
            </w:r>
          </w:p>
        </w:tc>
      </w:tr>
      <w:tr>
        <w:tblPrEx>
          <w:tblLayout w:type="fixed"/>
        </w:tblPrEx>
        <w:trPr>
          <w:trHeight w:val="876" w:hRule="atLeast"/>
          <w:jc w:val="center"/>
        </w:trPr>
        <w:tc>
          <w:tcPr>
            <w:tcW w:w="741"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3</w:t>
            </w:r>
          </w:p>
        </w:tc>
        <w:tc>
          <w:tcPr>
            <w:tcW w:w="1305"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 xml:space="preserve"> 车辆配备15%</w:t>
            </w:r>
          </w:p>
        </w:tc>
        <w:tc>
          <w:tcPr>
            <w:tcW w:w="810"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15分</w:t>
            </w:r>
          </w:p>
        </w:tc>
        <w:tc>
          <w:tcPr>
            <w:tcW w:w="5820" w:type="dxa"/>
            <w:vAlign w:val="center"/>
          </w:tcPr>
          <w:p>
            <w:pPr>
              <w:pStyle w:val="24"/>
              <w:spacing w:line="360" w:lineRule="auto"/>
              <w:rPr>
                <w:rFonts w:ascii="宋体" w:hAnsi="宋体" w:cs="宋体"/>
                <w:b/>
                <w:bCs/>
                <w:sz w:val="22"/>
                <w:szCs w:val="22"/>
              </w:rPr>
            </w:pPr>
            <w:r>
              <w:rPr>
                <w:rFonts w:hint="eastAsia" w:ascii="宋体" w:hAnsi="宋体" w:cs="宋体"/>
                <w:sz w:val="22"/>
                <w:szCs w:val="22"/>
                <w:lang w:bidi="ar"/>
              </w:rPr>
              <w:t>比选申请人为本项目每配备一辆专业垃圾清运车辆的得3分，本项最多得15分。</w:t>
            </w:r>
          </w:p>
          <w:p>
            <w:pPr>
              <w:pStyle w:val="24"/>
              <w:spacing w:line="360" w:lineRule="auto"/>
              <w:rPr>
                <w:rFonts w:ascii="宋体" w:hAnsi="宋体" w:cs="宋体"/>
                <w:sz w:val="22"/>
                <w:szCs w:val="22"/>
              </w:rPr>
            </w:pPr>
            <w:r>
              <w:rPr>
                <w:rFonts w:hint="eastAsia" w:ascii="宋体" w:hAnsi="宋体" w:cs="宋体"/>
                <w:b/>
                <w:bCs/>
                <w:sz w:val="22"/>
                <w:szCs w:val="22"/>
              </w:rPr>
              <w:t>注：提供车辆行驶证复印件和对应每台车辆驾驶员的驾驶证及自有车辆证明或租赁车辆证明（复印件加盖比选申请人鲜章）。</w:t>
            </w:r>
          </w:p>
        </w:tc>
        <w:tc>
          <w:tcPr>
            <w:tcW w:w="975" w:type="dxa"/>
            <w:vAlign w:val="center"/>
          </w:tcPr>
          <w:p>
            <w:pPr>
              <w:spacing w:line="360" w:lineRule="auto"/>
              <w:jc w:val="center"/>
              <w:rPr>
                <w:rFonts w:ascii="宋体" w:hAnsi="宋体" w:cs="宋体"/>
                <w:bCs/>
                <w:color w:val="000000"/>
                <w:sz w:val="22"/>
                <w:szCs w:val="22"/>
              </w:rPr>
            </w:pPr>
            <w:r>
              <w:rPr>
                <w:rFonts w:hint="eastAsia" w:ascii="宋体" w:hAnsi="宋体" w:cs="宋体"/>
                <w:bCs/>
                <w:color w:val="000000"/>
                <w:sz w:val="22"/>
                <w:szCs w:val="22"/>
              </w:rPr>
              <w:t>共同评审因素</w:t>
            </w:r>
          </w:p>
        </w:tc>
      </w:tr>
      <w:tr>
        <w:tblPrEx>
          <w:tblLayout w:type="fixed"/>
        </w:tblPrEx>
        <w:trPr>
          <w:trHeight w:val="665" w:hRule="atLeast"/>
          <w:jc w:val="center"/>
        </w:trPr>
        <w:tc>
          <w:tcPr>
            <w:tcW w:w="741" w:type="dxa"/>
            <w:vAlign w:val="center"/>
          </w:tcPr>
          <w:p>
            <w:pPr>
              <w:pStyle w:val="6"/>
              <w:spacing w:line="360" w:lineRule="auto"/>
              <w:jc w:val="center"/>
              <w:rPr>
                <w:rFonts w:ascii="宋体" w:hAnsi="宋体" w:cs="宋体"/>
                <w:bCs/>
                <w:color w:val="000000"/>
                <w:sz w:val="22"/>
                <w:szCs w:val="22"/>
              </w:rPr>
            </w:pPr>
            <w:r>
              <w:rPr>
                <w:rFonts w:hint="eastAsia" w:ascii="宋体" w:hAnsi="宋体" w:cs="宋体"/>
                <w:bCs/>
                <w:color w:val="000000"/>
                <w:sz w:val="22"/>
                <w:szCs w:val="22"/>
              </w:rPr>
              <w:t>4</w:t>
            </w:r>
          </w:p>
        </w:tc>
        <w:tc>
          <w:tcPr>
            <w:tcW w:w="1305" w:type="dxa"/>
            <w:vAlign w:val="center"/>
          </w:tcPr>
          <w:p>
            <w:pPr>
              <w:spacing w:line="360" w:lineRule="auto"/>
              <w:ind w:firstLine="28"/>
              <w:jc w:val="center"/>
              <w:rPr>
                <w:rFonts w:ascii="宋体" w:hAnsi="宋体" w:cs="宋体"/>
                <w:bCs/>
                <w:color w:val="000000"/>
                <w:sz w:val="22"/>
                <w:szCs w:val="22"/>
              </w:rPr>
            </w:pPr>
            <w:r>
              <w:rPr>
                <w:rFonts w:hint="eastAsia" w:ascii="宋体" w:hAnsi="宋体" w:cs="宋体"/>
                <w:bCs/>
                <w:color w:val="000000"/>
                <w:sz w:val="22"/>
                <w:szCs w:val="22"/>
              </w:rPr>
              <w:t>履约能力15%</w:t>
            </w:r>
          </w:p>
        </w:tc>
        <w:tc>
          <w:tcPr>
            <w:tcW w:w="810" w:type="dxa"/>
            <w:vAlign w:val="center"/>
          </w:tcPr>
          <w:p>
            <w:pPr>
              <w:spacing w:line="360" w:lineRule="auto"/>
              <w:ind w:firstLine="28"/>
              <w:jc w:val="center"/>
              <w:rPr>
                <w:rFonts w:ascii="宋体" w:hAnsi="宋体" w:cs="宋体"/>
                <w:bCs/>
                <w:color w:val="000000"/>
                <w:sz w:val="22"/>
                <w:szCs w:val="22"/>
              </w:rPr>
            </w:pPr>
            <w:r>
              <w:rPr>
                <w:rFonts w:hint="eastAsia" w:ascii="宋体" w:hAnsi="宋体" w:cs="宋体"/>
                <w:bCs/>
                <w:color w:val="000000"/>
                <w:sz w:val="22"/>
                <w:szCs w:val="22"/>
              </w:rPr>
              <w:t>15分</w:t>
            </w:r>
          </w:p>
        </w:tc>
        <w:tc>
          <w:tcPr>
            <w:tcW w:w="5820" w:type="dxa"/>
            <w:vAlign w:val="center"/>
          </w:tcPr>
          <w:p>
            <w:pPr>
              <w:pStyle w:val="6"/>
              <w:spacing w:line="360" w:lineRule="auto"/>
              <w:ind w:firstLine="220" w:firstLineChars="100"/>
              <w:jc w:val="both"/>
              <w:rPr>
                <w:rFonts w:ascii="宋体" w:hAnsi="宋体" w:cs="宋体"/>
                <w:bCs/>
                <w:color w:val="000000"/>
                <w:sz w:val="22"/>
                <w:szCs w:val="22"/>
              </w:rPr>
            </w:pPr>
            <w:r>
              <w:rPr>
                <w:rFonts w:hint="eastAsia" w:ascii="宋体" w:hAnsi="宋体" w:cs="宋体"/>
                <w:bCs/>
                <w:color w:val="000000"/>
                <w:sz w:val="22"/>
                <w:szCs w:val="22"/>
              </w:rPr>
              <w:t>比选申请人提供自2020 年 1 月 1 日（含1日）至本项目比选响应文件递交截止日的类似项目业绩，每提供1个类似业绩的得3分，此项最多得15分。</w:t>
            </w:r>
          </w:p>
          <w:p>
            <w:pPr>
              <w:pStyle w:val="6"/>
              <w:spacing w:line="360" w:lineRule="auto"/>
              <w:ind w:firstLine="220" w:firstLineChars="100"/>
              <w:jc w:val="both"/>
              <w:rPr>
                <w:rFonts w:ascii="宋体" w:hAnsi="宋体" w:cs="宋体"/>
                <w:bCs/>
                <w:color w:val="000000"/>
                <w:sz w:val="22"/>
                <w:szCs w:val="22"/>
              </w:rPr>
            </w:pPr>
            <w:r>
              <w:rPr>
                <w:rFonts w:hint="eastAsia" w:ascii="宋体" w:hAnsi="宋体" w:cs="宋体"/>
                <w:b/>
                <w:bCs/>
                <w:color w:val="000000"/>
                <w:sz w:val="22"/>
                <w:szCs w:val="22"/>
              </w:rPr>
              <w:t>注：提供以上业绩证明文件（以合同或中标（成交）通知书为准）并加盖比选申请人公章。</w:t>
            </w:r>
          </w:p>
        </w:tc>
        <w:tc>
          <w:tcPr>
            <w:tcW w:w="975" w:type="dxa"/>
            <w:vAlign w:val="center"/>
          </w:tcPr>
          <w:p>
            <w:pPr>
              <w:spacing w:line="360" w:lineRule="auto"/>
              <w:jc w:val="center"/>
              <w:rPr>
                <w:rFonts w:ascii="宋体" w:hAnsi="宋体" w:cs="宋体"/>
                <w:bCs/>
                <w:color w:val="000000"/>
                <w:sz w:val="22"/>
                <w:szCs w:val="22"/>
              </w:rPr>
            </w:pPr>
            <w:r>
              <w:rPr>
                <w:rFonts w:hint="eastAsia" w:ascii="宋体" w:hAnsi="宋体" w:cs="宋体"/>
                <w:bCs/>
                <w:color w:val="000000"/>
                <w:sz w:val="22"/>
                <w:szCs w:val="22"/>
              </w:rPr>
              <w:t>共同评审因素</w:t>
            </w:r>
          </w:p>
        </w:tc>
      </w:tr>
    </w:tbl>
    <w:p>
      <w:pPr>
        <w:numPr>
          <w:ilvl w:val="0"/>
          <w:numId w:val="0"/>
        </w:numPr>
        <w:ind w:leftChars="0"/>
        <w:jc w:val="left"/>
        <w:rPr>
          <w:rFonts w:ascii="宋体" w:hAnsi="宋体" w:eastAsia="宋体" w:cs="宋体"/>
          <w:sz w:val="32"/>
          <w:szCs w:val="32"/>
        </w:rPr>
      </w:pPr>
    </w:p>
    <w:p>
      <w:pPr>
        <w:numPr>
          <w:ilvl w:val="0"/>
          <w:numId w:val="4"/>
        </w:numPr>
        <w:jc w:val="left"/>
        <w:rPr>
          <w:rFonts w:hint="eastAsia" w:ascii="宋体" w:hAnsi="宋体" w:eastAsia="宋体" w:cs="宋体"/>
          <w:sz w:val="32"/>
          <w:szCs w:val="32"/>
          <w:highlight w:val="yellow"/>
          <w:u w:val="single"/>
        </w:rPr>
      </w:pPr>
      <w:r>
        <w:rPr>
          <w:rFonts w:hint="eastAsia" w:ascii="宋体" w:hAnsi="宋体" w:eastAsia="宋体" w:cs="宋体"/>
          <w:sz w:val="32"/>
          <w:szCs w:val="32"/>
        </w:rPr>
        <w:t>付款方式：</w:t>
      </w:r>
    </w:p>
    <w:p>
      <w:pPr>
        <w:numPr>
          <w:ilvl w:val="0"/>
          <w:numId w:val="0"/>
        </w:numPr>
        <w:ind w:leftChars="0"/>
        <w:jc w:val="left"/>
        <w:rPr>
          <w:rFonts w:hint="eastAsia" w:ascii="宋体" w:hAnsi="宋体" w:eastAsia="宋体" w:cs="宋体"/>
          <w:sz w:val="32"/>
          <w:szCs w:val="32"/>
          <w:highlight w:val="yellow"/>
          <w:u w:val="single"/>
        </w:rPr>
      </w:pPr>
      <w:r>
        <w:rPr>
          <w:rFonts w:hint="eastAsia" w:ascii="宋体" w:hAnsi="宋体" w:eastAsia="宋体" w:cs="宋体"/>
          <w:sz w:val="32"/>
          <w:szCs w:val="32"/>
          <w:highlight w:val="yellow"/>
          <w:u w:val="single"/>
        </w:rPr>
        <w:t>（1）乙方每6个月发起一次支付申请，经甲方确认后30个工作日内支付给乙方。</w:t>
      </w:r>
    </w:p>
    <w:p>
      <w:pPr>
        <w:numPr>
          <w:ilvl w:val="0"/>
          <w:numId w:val="0"/>
        </w:numPr>
        <w:ind w:leftChars="0"/>
        <w:jc w:val="left"/>
        <w:rPr>
          <w:rFonts w:ascii="宋体" w:hAnsi="宋体" w:eastAsia="宋体" w:cs="宋体"/>
          <w:sz w:val="32"/>
          <w:szCs w:val="32"/>
        </w:rPr>
      </w:pPr>
      <w:r>
        <w:rPr>
          <w:rFonts w:hint="eastAsia" w:ascii="宋体" w:hAnsi="宋体" w:eastAsia="宋体" w:cs="宋体"/>
          <w:sz w:val="32"/>
          <w:szCs w:val="32"/>
          <w:highlight w:val="yellow"/>
          <w:u w:val="single"/>
        </w:rPr>
        <w:t>（2）乙方须向甲方提供合法有效的等额有效发票及账户信息。</w:t>
      </w: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bookmarkStart w:id="8" w:name="_Toc25079259"/>
      <w:bookmarkStart w:id="9" w:name="_Toc12540"/>
    </w:p>
    <w:p>
      <w:pPr>
        <w:rPr>
          <w:sz w:val="36"/>
          <w:szCs w:val="28"/>
        </w:rPr>
      </w:pPr>
      <w:r>
        <w:rPr>
          <w:rFonts w:hint="eastAsia"/>
          <w:sz w:val="36"/>
          <w:szCs w:val="28"/>
        </w:rPr>
        <w:br w:type="page"/>
      </w:r>
    </w:p>
    <w:p>
      <w:pPr>
        <w:pStyle w:val="2"/>
        <w:spacing w:before="624" w:after="624"/>
        <w:rPr>
          <w:sz w:val="36"/>
          <w:szCs w:val="28"/>
        </w:rPr>
      </w:pPr>
      <w:r>
        <w:rPr>
          <w:rFonts w:hint="eastAsia"/>
          <w:sz w:val="36"/>
          <w:szCs w:val="28"/>
        </w:rPr>
        <w:t>投标文件格式</w:t>
      </w:r>
      <w:bookmarkEnd w:id="8"/>
      <w:bookmarkEnd w:id="9"/>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b/>
          <w:bCs/>
          <w:sz w:val="48"/>
          <w:szCs w:val="48"/>
        </w:rPr>
      </w:pPr>
      <w:r>
        <w:rPr>
          <w:rFonts w:hint="eastAsia" w:ascii="楷体" w:hAnsi="楷体" w:eastAsia="楷体" w:cs="楷体"/>
          <w:b/>
          <w:bCs/>
          <w:sz w:val="48"/>
          <w:szCs w:val="48"/>
          <w:lang w:eastAsia="zh-CN"/>
        </w:rPr>
        <w:t>成都汽车职业技术学校生活垃圾清运服务项目</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成都汽车职业技术学校生活垃圾清运服务项目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9"/>
        <w:rPr>
          <w:rFonts w:ascii="楷体" w:hAnsi="楷体" w:eastAsia="楷体" w:cs="楷体"/>
          <w:sz w:val="36"/>
          <w:szCs w:val="36"/>
        </w:rPr>
      </w:pPr>
    </w:p>
    <w:p>
      <w:pPr>
        <w:pStyle w:val="19"/>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pPr>
        <w:numPr>
          <w:ilvl w:val="0"/>
          <w:numId w:val="0"/>
        </w:numPr>
        <w:ind w:left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6"/>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3"/>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Layout w:type="fixed"/>
        </w:tblPrEx>
        <w:trPr>
          <w:trHeight w:val="300" w:hRule="atLeast"/>
        </w:trPr>
        <w:tc>
          <w:tcPr>
            <w:tcW w:w="44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序号</w:t>
            </w:r>
          </w:p>
        </w:tc>
        <w:tc>
          <w:tcPr>
            <w:tcW w:w="248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项目业主</w:t>
            </w:r>
          </w:p>
        </w:tc>
        <w:tc>
          <w:tcPr>
            <w:tcW w:w="274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项目名称</w:t>
            </w:r>
          </w:p>
        </w:tc>
        <w:tc>
          <w:tcPr>
            <w:tcW w:w="223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建设规模</w:t>
            </w:r>
          </w:p>
        </w:tc>
        <w:tc>
          <w:tcPr>
            <w:tcW w:w="120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合同价格（元）</w:t>
            </w:r>
          </w:p>
        </w:tc>
      </w:tr>
      <w:tr>
        <w:tblPrEx>
          <w:tblLayout w:type="fixed"/>
        </w:tblPrEx>
        <w:trPr>
          <w:trHeight w:val="540" w:hRule="atLeast"/>
        </w:trPr>
        <w:tc>
          <w:tcPr>
            <w:tcW w:w="44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489"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743"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231"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08"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Layout w:type="fixed"/>
        </w:tblPrEx>
        <w:trPr>
          <w:trHeight w:val="600" w:hRule="atLeast"/>
        </w:trPr>
        <w:tc>
          <w:tcPr>
            <w:tcW w:w="44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489"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743"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231"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08"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Layout w:type="fixed"/>
        </w:tblPrEx>
        <w:trPr>
          <w:trHeight w:val="696" w:hRule="atLeast"/>
        </w:trPr>
        <w:tc>
          <w:tcPr>
            <w:tcW w:w="44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489"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743"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2231"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08" w:type="dxa"/>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9"/>
        <w:rPr>
          <w:rFonts w:ascii="楷体" w:hAnsi="楷体" w:eastAsia="楷体" w:cs="楷体"/>
          <w:sz w:val="36"/>
          <w:szCs w:val="36"/>
        </w:rPr>
      </w:pPr>
    </w:p>
    <w:p>
      <w:pPr>
        <w:pStyle w:val="5"/>
        <w:rPr>
          <w:rFonts w:ascii="楷体" w:hAnsi="楷体" w:eastAsia="楷体" w:cs="楷体"/>
          <w:sz w:val="36"/>
          <w:szCs w:val="36"/>
        </w:rPr>
      </w:pPr>
    </w:p>
    <w:p>
      <w:pPr>
        <w:rPr>
          <w:rFonts w:ascii="楷体" w:hAnsi="楷体" w:eastAsia="楷体" w:cs="楷体"/>
          <w:sz w:val="36"/>
          <w:szCs w:val="36"/>
        </w:rPr>
      </w:pPr>
    </w:p>
    <w:p>
      <w:pPr>
        <w:pStyle w:val="19"/>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9"/>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9"/>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10" w:name="_Toc18544"/>
      <w:bookmarkStart w:id="11" w:name="_Toc25079261"/>
      <w:r>
        <w:rPr>
          <w:rFonts w:hint="eastAsia"/>
          <w:sz w:val="36"/>
          <w:szCs w:val="28"/>
        </w:rPr>
        <w:t>资格审查</w:t>
      </w:r>
      <w:bookmarkEnd w:id="10"/>
      <w:bookmarkEnd w:id="11"/>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Layout w:type="fixed"/>
        </w:tblPrEx>
        <w:trPr>
          <w:trHeight w:val="595" w:hRule="atLeast"/>
        </w:trPr>
        <w:tc>
          <w:tcPr>
            <w:tcW w:w="710"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Layout w:type="fixed"/>
        </w:tblPrEx>
        <w:trPr>
          <w:trHeight w:val="112"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1"/>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1"/>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1"/>
              <w:rPr>
                <w:rFonts w:ascii="仿宋_GB2312" w:hAnsi="仿宋_GB2312" w:eastAsia="仿宋_GB2312" w:cs="仿宋_GB2312"/>
              </w:rPr>
            </w:pPr>
          </w:p>
        </w:tc>
      </w:tr>
      <w:tr>
        <w:tblPrEx>
          <w:tblLayout w:type="fixed"/>
        </w:tblPrEx>
        <w:trPr>
          <w:trHeight w:val="961"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1"/>
              <w:rPr>
                <w:rFonts w:ascii="仿宋_GB2312" w:hAnsi="仿宋_GB2312" w:eastAsia="仿宋_GB2312" w:cs="仿宋_GB2312"/>
              </w:rPr>
            </w:pPr>
          </w:p>
        </w:tc>
      </w:tr>
      <w:tr>
        <w:tblPrEx>
          <w:tblLayout w:type="fixed"/>
        </w:tblPrEx>
        <w:trPr>
          <w:trHeight w:val="740"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1"/>
              <w:rPr>
                <w:rFonts w:ascii="仿宋_GB2312" w:hAnsi="仿宋_GB2312" w:eastAsia="仿宋_GB2312" w:cs="仿宋_GB2312"/>
                <w:color w:val="FF0000"/>
              </w:rPr>
            </w:pPr>
          </w:p>
        </w:tc>
      </w:tr>
      <w:tr>
        <w:tblPrEx>
          <w:tblLayout w:type="fixed"/>
        </w:tblPrEx>
        <w:trPr>
          <w:trHeight w:val="555"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1"/>
              <w:rPr>
                <w:rFonts w:ascii="仿宋_GB2312" w:hAnsi="仿宋_GB2312" w:eastAsia="仿宋_GB2312" w:cs="仿宋_GB2312"/>
                <w:color w:val="FF0000"/>
              </w:rPr>
            </w:pPr>
          </w:p>
        </w:tc>
      </w:tr>
      <w:tr>
        <w:tblPrEx>
          <w:tblLayout w:type="fixed"/>
        </w:tblPrEx>
        <w:trPr>
          <w:trHeight w:val="801"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1"/>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12" w:name="_Toc217446093"/>
      <w:r>
        <w:rPr>
          <w:rFonts w:hint="eastAsia" w:ascii="仿宋_GB2312" w:hAnsi="仿宋_GB2312" w:eastAsia="仿宋_GB2312" w:cs="仿宋_GB2312"/>
          <w:sz w:val="28"/>
          <w:szCs w:val="28"/>
        </w:rPr>
        <w:t>。</w:t>
      </w:r>
    </w:p>
    <w:bookmarkEnd w:id="12"/>
    <w:p>
      <w:pPr>
        <w:widowControl/>
        <w:spacing w:before="100" w:beforeAutospacing="1" w:after="100" w:afterAutospacing="1"/>
        <w:jc w:val="center"/>
        <w:outlineLvl w:val="2"/>
        <w:rPr>
          <w:rFonts w:ascii="Arial" w:hAnsi="Arial" w:cs="Arial"/>
          <w:b/>
          <w:bCs/>
          <w:color w:val="000000"/>
          <w:kern w:val="0"/>
          <w:sz w:val="27"/>
          <w:szCs w:val="27"/>
          <w:lang w:eastAsia="zh-Hans"/>
        </w:rPr>
      </w:pPr>
      <w:r>
        <w:rPr>
          <w:rFonts w:ascii="Arial" w:hAnsi="Arial" w:cs="Arial"/>
          <w:b/>
          <w:bCs/>
          <w:color w:val="000000"/>
          <w:kern w:val="0"/>
          <w:sz w:val="27"/>
          <w:szCs w:val="27"/>
          <w:lang w:eastAsia="zh-Hans"/>
        </w:rPr>
        <w:t>生活垃圾清运合同</w:t>
      </w:r>
      <w:r>
        <w:rPr>
          <w:rFonts w:ascii="Arial" w:hAnsi="Arial" w:cs="Arial"/>
          <w:color w:val="000000"/>
          <w:kern w:val="0"/>
          <w:sz w:val="18"/>
          <w:szCs w:val="18"/>
          <w:lang w:eastAsia="zh-Hans"/>
        </w:rPr>
        <w:t xml:space="preserve"> </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甲方：                                                       （以下简称甲方）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乙方：                                                       （以下简称乙方）</w:t>
      </w:r>
    </w:p>
    <w:p>
      <w:pPr>
        <w:widowControl/>
        <w:spacing w:after="150"/>
        <w:ind w:firstLine="360" w:firstLineChars="200"/>
        <w:rPr>
          <w:rFonts w:hint="eastAsia" w:ascii="Arial" w:hAnsi="Arial" w:cs="Arial"/>
          <w:color w:val="000000"/>
          <w:kern w:val="0"/>
          <w:sz w:val="18"/>
          <w:szCs w:val="18"/>
          <w:lang w:eastAsia="zh-Hans"/>
        </w:rPr>
      </w:pPr>
      <w:r>
        <w:rPr>
          <w:rFonts w:hint="eastAsia" w:ascii="Arial" w:hAnsi="Arial" w:cs="Arial"/>
          <w:color w:val="000000"/>
          <w:kern w:val="0"/>
          <w:sz w:val="18"/>
          <w:szCs w:val="18"/>
          <w:lang w:eastAsia="zh-Hans"/>
        </w:rPr>
        <w:t>为规范学校生活垃圾清运，给学校营造一个洁净、舒适的生活、学习工作环境，根据《中华人民共和国合同法》及有关规定，甲、乙双方在平等互利、友好协商的基础上，就乙方清运甲方区域内生活垃圾事宜，达成如下协议：</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一、清运地点、频次和时间</w:t>
      </w:r>
    </w:p>
    <w:p>
      <w:pPr>
        <w:widowControl/>
        <w:spacing w:after="150"/>
        <w:ind w:firstLine="480"/>
        <w:rPr>
          <w:rFonts w:hint="eastAsia" w:ascii="Arial" w:hAnsi="Arial" w:cs="Arial"/>
          <w:color w:val="000000"/>
          <w:kern w:val="0"/>
          <w:sz w:val="18"/>
          <w:szCs w:val="18"/>
          <w:lang w:eastAsia="zh-Hans"/>
        </w:rPr>
      </w:pPr>
      <w:r>
        <w:rPr>
          <w:rFonts w:ascii="Arial" w:hAnsi="Arial" w:cs="Arial"/>
          <w:color w:val="000000"/>
          <w:kern w:val="0"/>
          <w:sz w:val="18"/>
          <w:szCs w:val="18"/>
          <w:lang w:eastAsia="zh-Hans"/>
        </w:rPr>
        <w:t>1、清运地点：甲方委托乙方清运生活垃圾的地址为：  </w:t>
      </w:r>
      <w:r>
        <w:rPr>
          <w:rFonts w:hint="eastAsia" w:ascii="Arial" w:hAnsi="Arial" w:cs="Arial"/>
          <w:color w:val="000000"/>
          <w:kern w:val="0"/>
          <w:sz w:val="18"/>
          <w:szCs w:val="18"/>
        </w:rPr>
        <w:t>成都汽车职业技术学校幸福路3</w:t>
      </w:r>
      <w:r>
        <w:rPr>
          <w:rFonts w:ascii="Arial" w:hAnsi="Arial" w:cs="Arial"/>
          <w:color w:val="000000"/>
          <w:kern w:val="0"/>
          <w:sz w:val="18"/>
          <w:szCs w:val="18"/>
        </w:rPr>
        <w:t>88</w:t>
      </w:r>
      <w:r>
        <w:rPr>
          <w:rFonts w:hint="eastAsia" w:ascii="Arial" w:hAnsi="Arial" w:cs="Arial"/>
          <w:color w:val="000000"/>
          <w:kern w:val="0"/>
          <w:sz w:val="18"/>
          <w:szCs w:val="18"/>
        </w:rPr>
        <w:t>号：校门口收运点，汽车实训楼收运点。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2、清运频次：乙方必须做到生活垃圾</w:t>
      </w:r>
      <w:r>
        <w:rPr>
          <w:rFonts w:hint="eastAsia" w:ascii="Arial" w:hAnsi="Arial" w:cs="Arial"/>
          <w:color w:val="000000"/>
          <w:kern w:val="0"/>
          <w:sz w:val="18"/>
          <w:szCs w:val="18"/>
        </w:rPr>
        <w:t>每天至少清理一次</w:t>
      </w:r>
      <w:r>
        <w:rPr>
          <w:rFonts w:ascii="Arial" w:hAnsi="Arial" w:cs="Arial"/>
          <w:color w:val="000000"/>
          <w:kern w:val="0"/>
          <w:sz w:val="18"/>
          <w:szCs w:val="18"/>
          <w:lang w:eastAsia="zh-Hans"/>
        </w:rPr>
        <w:t>。</w:t>
      </w:r>
    </w:p>
    <w:p>
      <w:pPr>
        <w:widowControl/>
        <w:spacing w:after="150"/>
        <w:ind w:firstLine="480"/>
        <w:rPr>
          <w:rFonts w:hint="eastAsia" w:ascii="Arial" w:hAnsi="Arial" w:cs="Arial"/>
          <w:color w:val="000000"/>
          <w:kern w:val="0"/>
          <w:sz w:val="18"/>
          <w:szCs w:val="18"/>
        </w:rPr>
      </w:pPr>
      <w:r>
        <w:rPr>
          <w:rFonts w:ascii="Arial" w:hAnsi="Arial" w:cs="Arial"/>
          <w:color w:val="000000"/>
          <w:kern w:val="0"/>
          <w:sz w:val="18"/>
          <w:szCs w:val="18"/>
          <w:lang w:eastAsia="zh-Hans"/>
        </w:rPr>
        <w:t>3、清运时间：每天</w:t>
      </w:r>
      <w:r>
        <w:rPr>
          <w:rFonts w:hint="eastAsia" w:ascii="Arial" w:hAnsi="Arial" w:cs="Arial"/>
          <w:color w:val="000000"/>
          <w:kern w:val="0"/>
          <w:sz w:val="18"/>
          <w:szCs w:val="18"/>
          <w:lang w:eastAsia="zh-Hans"/>
        </w:rPr>
        <w:t>上午或</w:t>
      </w:r>
      <w:r>
        <w:rPr>
          <w:rFonts w:hint="eastAsia" w:ascii="Arial" w:hAnsi="Arial" w:cs="Arial"/>
          <w:color w:val="000000"/>
          <w:kern w:val="0"/>
          <w:sz w:val="18"/>
          <w:szCs w:val="18"/>
        </w:rPr>
        <w:t>下午</w:t>
      </w:r>
      <w:r>
        <w:rPr>
          <w:rFonts w:ascii="Arial" w:hAnsi="Arial" w:cs="Arial"/>
          <w:color w:val="000000"/>
          <w:kern w:val="0"/>
          <w:sz w:val="18"/>
          <w:szCs w:val="18"/>
          <w:lang w:eastAsia="zh-Hans"/>
        </w:rPr>
        <w:t>完成</w:t>
      </w:r>
      <w:r>
        <w:rPr>
          <w:rFonts w:hint="eastAsia" w:ascii="Arial" w:hAnsi="Arial" w:cs="Arial"/>
          <w:color w:val="000000"/>
          <w:kern w:val="0"/>
          <w:sz w:val="18"/>
          <w:szCs w:val="18"/>
          <w:lang w:eastAsia="zh-Hans"/>
        </w:rPr>
        <w:t>。</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二、协议时间</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本协议有效期为 </w:t>
      </w:r>
      <w:r>
        <w:rPr>
          <w:rFonts w:hint="eastAsia" w:ascii="Arial" w:hAnsi="Arial" w:cs="Arial"/>
          <w:color w:val="000000"/>
          <w:kern w:val="0"/>
          <w:sz w:val="18"/>
          <w:szCs w:val="18"/>
        </w:rPr>
        <w:t>1</w:t>
      </w:r>
      <w:r>
        <w:rPr>
          <w:rFonts w:ascii="Arial" w:hAnsi="Arial" w:cs="Arial"/>
          <w:color w:val="000000"/>
          <w:kern w:val="0"/>
          <w:sz w:val="18"/>
          <w:szCs w:val="18"/>
          <w:lang w:eastAsia="zh-Hans"/>
        </w:rPr>
        <w:t>年，从  </w:t>
      </w:r>
      <w:r>
        <w:rPr>
          <w:rFonts w:hint="eastAsia" w:ascii="Arial" w:hAnsi="Arial" w:cs="Arial"/>
          <w:color w:val="000000"/>
          <w:kern w:val="0"/>
          <w:sz w:val="18"/>
          <w:szCs w:val="18"/>
        </w:rPr>
        <w:t>20</w:t>
      </w:r>
      <w:r>
        <w:rPr>
          <w:rFonts w:ascii="Arial" w:hAnsi="Arial" w:cs="Arial"/>
          <w:color w:val="000000"/>
          <w:kern w:val="0"/>
          <w:sz w:val="18"/>
          <w:szCs w:val="18"/>
        </w:rPr>
        <w:t xml:space="preserve">2  </w:t>
      </w:r>
      <w:r>
        <w:rPr>
          <w:rFonts w:ascii="Arial" w:hAnsi="Arial" w:cs="Arial"/>
          <w:color w:val="000000"/>
          <w:kern w:val="0"/>
          <w:sz w:val="18"/>
          <w:szCs w:val="18"/>
          <w:lang w:eastAsia="zh-Hans"/>
        </w:rPr>
        <w:t>年   月</w:t>
      </w:r>
      <w:r>
        <w:rPr>
          <w:rFonts w:ascii="Arial" w:hAnsi="Arial" w:cs="Arial"/>
          <w:color w:val="000000"/>
          <w:kern w:val="0"/>
          <w:sz w:val="18"/>
          <w:szCs w:val="18"/>
        </w:rPr>
        <w:t xml:space="preserve">  </w:t>
      </w:r>
      <w:r>
        <w:rPr>
          <w:rFonts w:ascii="Arial" w:hAnsi="Arial" w:cs="Arial"/>
          <w:color w:val="000000"/>
          <w:kern w:val="0"/>
          <w:sz w:val="18"/>
          <w:szCs w:val="18"/>
          <w:lang w:eastAsia="zh-Hans"/>
        </w:rPr>
        <w:t>日至 </w:t>
      </w:r>
      <w:r>
        <w:rPr>
          <w:rFonts w:hint="eastAsia" w:ascii="Arial" w:hAnsi="Arial" w:cs="Arial"/>
          <w:color w:val="000000"/>
          <w:kern w:val="0"/>
          <w:sz w:val="18"/>
          <w:szCs w:val="18"/>
        </w:rPr>
        <w:t>20</w:t>
      </w:r>
      <w:r>
        <w:rPr>
          <w:rFonts w:ascii="Arial" w:hAnsi="Arial" w:cs="Arial"/>
          <w:color w:val="000000"/>
          <w:kern w:val="0"/>
          <w:sz w:val="18"/>
          <w:szCs w:val="18"/>
        </w:rPr>
        <w:t xml:space="preserve">2  </w:t>
      </w:r>
      <w:r>
        <w:rPr>
          <w:rFonts w:ascii="Arial" w:hAnsi="Arial" w:cs="Arial"/>
          <w:color w:val="000000"/>
          <w:kern w:val="0"/>
          <w:sz w:val="18"/>
          <w:szCs w:val="18"/>
          <w:lang w:eastAsia="zh-Hans"/>
        </w:rPr>
        <w:t> 年  </w:t>
      </w:r>
      <w:r>
        <w:rPr>
          <w:rFonts w:ascii="Arial" w:hAnsi="Arial" w:cs="Arial"/>
          <w:color w:val="000000"/>
          <w:kern w:val="0"/>
          <w:sz w:val="18"/>
          <w:szCs w:val="18"/>
        </w:rPr>
        <w:t xml:space="preserve"> </w:t>
      </w:r>
      <w:r>
        <w:rPr>
          <w:rFonts w:ascii="Arial" w:hAnsi="Arial" w:cs="Arial"/>
          <w:color w:val="000000"/>
          <w:kern w:val="0"/>
          <w:sz w:val="18"/>
          <w:szCs w:val="18"/>
          <w:lang w:eastAsia="zh-Hans"/>
        </w:rPr>
        <w:t>月  </w:t>
      </w:r>
      <w:r>
        <w:rPr>
          <w:rFonts w:ascii="Arial" w:hAnsi="Arial" w:cs="Arial"/>
          <w:color w:val="000000"/>
          <w:kern w:val="0"/>
          <w:sz w:val="18"/>
          <w:szCs w:val="18"/>
        </w:rPr>
        <w:t xml:space="preserve"> </w:t>
      </w:r>
      <w:r>
        <w:rPr>
          <w:rFonts w:ascii="Arial" w:hAnsi="Arial" w:cs="Arial"/>
          <w:color w:val="000000"/>
          <w:kern w:val="0"/>
          <w:sz w:val="18"/>
          <w:szCs w:val="18"/>
          <w:lang w:eastAsia="zh-Hans"/>
        </w:rPr>
        <w:t>日止。</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三、费用及付款方式</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1、费用：本协议下的生活垃圾清运费为</w:t>
      </w:r>
      <w:r>
        <w:rPr>
          <w:rFonts w:hint="eastAsia" w:ascii="Arial" w:hAnsi="Arial" w:cs="Arial"/>
          <w:color w:val="000000"/>
          <w:kern w:val="0"/>
          <w:sz w:val="18"/>
          <w:szCs w:val="18"/>
          <w:highlight w:val="yellow"/>
          <w:u w:val="single"/>
          <w:lang w:val="en-US" w:eastAsia="zh-CN"/>
        </w:rPr>
        <w:t xml:space="preserve">        </w:t>
      </w:r>
      <w:r>
        <w:rPr>
          <w:rFonts w:ascii="Arial" w:hAnsi="Arial" w:cs="Arial"/>
          <w:color w:val="000000"/>
          <w:kern w:val="0"/>
          <w:sz w:val="18"/>
          <w:szCs w:val="18"/>
          <w:lang w:eastAsia="zh-Hans"/>
        </w:rPr>
        <w:t xml:space="preserve"> 元/</w:t>
      </w:r>
      <w:r>
        <w:rPr>
          <w:rFonts w:hint="eastAsia" w:ascii="Arial" w:hAnsi="Arial" w:cs="Arial"/>
          <w:color w:val="000000"/>
          <w:kern w:val="0"/>
          <w:sz w:val="18"/>
          <w:szCs w:val="18"/>
        </w:rPr>
        <w:t>年</w:t>
      </w:r>
      <w:bookmarkStart w:id="13" w:name="_Hlk155780177"/>
      <w:r>
        <w:rPr>
          <w:rFonts w:ascii="Arial" w:hAnsi="Arial" w:cs="Arial"/>
          <w:color w:val="000000"/>
          <w:kern w:val="0"/>
          <w:sz w:val="18"/>
          <w:szCs w:val="18"/>
          <w:lang w:eastAsia="zh-Hans"/>
        </w:rPr>
        <w:t>（大写：</w:t>
      </w:r>
      <w:r>
        <w:rPr>
          <w:rFonts w:hint="eastAsia" w:ascii="Arial" w:hAnsi="Arial" w:cs="Arial"/>
          <w:color w:val="000000"/>
          <w:kern w:val="0"/>
          <w:sz w:val="18"/>
          <w:szCs w:val="18"/>
        </w:rPr>
        <w:t>人民</w:t>
      </w:r>
      <w:r>
        <w:rPr>
          <w:rFonts w:ascii="Arial" w:hAnsi="Arial" w:cs="Arial"/>
          <w:color w:val="000000"/>
          <w:kern w:val="0"/>
          <w:sz w:val="18"/>
          <w:szCs w:val="18"/>
          <w:lang w:eastAsia="zh-Hans"/>
        </w:rPr>
        <w:t>币</w:t>
      </w:r>
      <w:r>
        <w:rPr>
          <w:rFonts w:ascii="Arial" w:hAnsi="Arial" w:cs="Arial"/>
          <w:color w:val="000000"/>
          <w:kern w:val="0"/>
          <w:sz w:val="18"/>
          <w:szCs w:val="18"/>
          <w:u w:val="single"/>
          <w:lang w:eastAsia="zh-Hans"/>
        </w:rPr>
        <w:t> </w:t>
      </w:r>
      <w:r>
        <w:rPr>
          <w:rFonts w:ascii="Arial" w:hAnsi="Arial" w:cs="Arial"/>
          <w:color w:val="000000"/>
          <w:kern w:val="0"/>
          <w:sz w:val="18"/>
          <w:szCs w:val="18"/>
          <w:highlight w:val="yellow"/>
          <w:u w:val="single"/>
          <w:lang w:eastAsia="zh-Hans"/>
        </w:rPr>
        <w:t>   </w:t>
      </w:r>
      <w:r>
        <w:rPr>
          <w:rFonts w:hint="eastAsia" w:ascii="Arial" w:hAnsi="Arial" w:cs="Arial"/>
          <w:color w:val="000000"/>
          <w:kern w:val="0"/>
          <w:sz w:val="18"/>
          <w:szCs w:val="18"/>
          <w:highlight w:val="yellow"/>
          <w:u w:val="single"/>
          <w:lang w:val="en-US" w:eastAsia="zh-CN"/>
        </w:rPr>
        <w:t xml:space="preserve">     </w:t>
      </w:r>
      <w:r>
        <w:rPr>
          <w:rFonts w:ascii="Arial" w:hAnsi="Arial" w:cs="Arial"/>
          <w:color w:val="000000"/>
          <w:kern w:val="0"/>
          <w:sz w:val="18"/>
          <w:szCs w:val="18"/>
          <w:lang w:eastAsia="zh-Hans"/>
        </w:rPr>
        <w:t>整/</w:t>
      </w:r>
      <w:r>
        <w:rPr>
          <w:rFonts w:hint="eastAsia" w:ascii="Arial" w:hAnsi="Arial" w:cs="Arial"/>
          <w:color w:val="000000"/>
          <w:kern w:val="0"/>
          <w:sz w:val="18"/>
          <w:szCs w:val="18"/>
        </w:rPr>
        <w:t>年</w:t>
      </w:r>
      <w:r>
        <w:rPr>
          <w:rFonts w:ascii="Arial" w:hAnsi="Arial" w:cs="Arial"/>
          <w:color w:val="000000"/>
          <w:kern w:val="0"/>
          <w:sz w:val="18"/>
          <w:szCs w:val="18"/>
          <w:lang w:eastAsia="zh-Hans"/>
        </w:rPr>
        <w:t>）</w:t>
      </w:r>
      <w:bookmarkEnd w:id="13"/>
      <w:r>
        <w:rPr>
          <w:rFonts w:ascii="Arial" w:hAnsi="Arial" w:cs="Arial"/>
          <w:color w:val="000000"/>
          <w:kern w:val="0"/>
          <w:sz w:val="18"/>
          <w:szCs w:val="18"/>
          <w:lang w:eastAsia="zh-Hans"/>
        </w:rPr>
        <w:t>。</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2、结算方式：乙方</w:t>
      </w:r>
      <w:r>
        <w:rPr>
          <w:rFonts w:hint="eastAsia" w:ascii="Arial" w:hAnsi="Arial" w:cs="Arial"/>
          <w:color w:val="000000"/>
          <w:kern w:val="0"/>
          <w:sz w:val="18"/>
          <w:szCs w:val="18"/>
          <w:lang w:eastAsia="zh-Hans"/>
        </w:rPr>
        <w:t>开</w:t>
      </w:r>
      <w:r>
        <w:rPr>
          <w:rFonts w:ascii="Arial" w:hAnsi="Arial" w:cs="Arial"/>
          <w:color w:val="000000"/>
          <w:kern w:val="0"/>
          <w:sz w:val="18"/>
          <w:szCs w:val="18"/>
          <w:lang w:eastAsia="zh-Hans"/>
        </w:rPr>
        <w:t>具正规税务发票给甲方，甲方以</w:t>
      </w:r>
      <w:r>
        <w:rPr>
          <w:rFonts w:hint="eastAsia" w:ascii="Arial" w:hAnsi="Arial" w:cs="Arial"/>
          <w:color w:val="000000"/>
          <w:kern w:val="0"/>
          <w:sz w:val="18"/>
          <w:szCs w:val="18"/>
          <w:lang w:eastAsia="zh-Hans"/>
        </w:rPr>
        <w:t>对公</w:t>
      </w:r>
      <w:r>
        <w:rPr>
          <w:rFonts w:ascii="Arial" w:hAnsi="Arial" w:cs="Arial"/>
          <w:color w:val="000000"/>
          <w:kern w:val="0"/>
          <w:sz w:val="18"/>
          <w:szCs w:val="18"/>
          <w:lang w:eastAsia="zh-Hans"/>
        </w:rPr>
        <w:t>转帐方式向乙方结算</w:t>
      </w:r>
      <w:r>
        <w:rPr>
          <w:rFonts w:hint="eastAsia" w:ascii="Arial" w:hAnsi="Arial" w:cs="Arial"/>
          <w:color w:val="000000"/>
          <w:kern w:val="0"/>
          <w:sz w:val="18"/>
          <w:szCs w:val="18"/>
          <w:lang w:eastAsia="zh-Hans"/>
        </w:rPr>
        <w:t>，半年支付5</w:t>
      </w:r>
      <w:r>
        <w:rPr>
          <w:rFonts w:ascii="Arial" w:hAnsi="Arial" w:cs="Arial"/>
          <w:color w:val="000000"/>
          <w:kern w:val="0"/>
          <w:sz w:val="18"/>
          <w:szCs w:val="18"/>
          <w:lang w:eastAsia="zh-Hans"/>
        </w:rPr>
        <w:t>0%生活垃圾清运费</w:t>
      </w:r>
      <w:r>
        <w:rPr>
          <w:rFonts w:hint="eastAsia" w:ascii="Arial" w:hAnsi="Arial" w:cs="Arial"/>
          <w:color w:val="000000"/>
          <w:kern w:val="0"/>
          <w:sz w:val="18"/>
          <w:szCs w:val="18"/>
          <w:highlight w:val="yellow"/>
          <w:u w:val="single"/>
          <w:lang w:val="en-US" w:eastAsia="zh-CN"/>
        </w:rPr>
        <w:t xml:space="preserve">        </w:t>
      </w:r>
      <w:r>
        <w:rPr>
          <w:rFonts w:hint="eastAsia" w:ascii="Arial" w:hAnsi="Arial" w:cs="Arial"/>
          <w:color w:val="000000"/>
          <w:kern w:val="0"/>
          <w:sz w:val="18"/>
          <w:szCs w:val="18"/>
          <w:lang w:eastAsia="zh-Hans"/>
        </w:rPr>
        <w:t>万元</w:t>
      </w:r>
      <w:r>
        <w:rPr>
          <w:rFonts w:ascii="Arial" w:hAnsi="Arial" w:cs="Arial"/>
          <w:color w:val="000000"/>
          <w:kern w:val="0"/>
          <w:sz w:val="18"/>
          <w:szCs w:val="18"/>
          <w:lang w:eastAsia="zh-Hans"/>
        </w:rPr>
        <w:t>（大写：</w:t>
      </w:r>
      <w:r>
        <w:rPr>
          <w:rFonts w:hint="eastAsia" w:ascii="Arial" w:hAnsi="Arial" w:cs="Arial"/>
          <w:color w:val="000000"/>
          <w:kern w:val="0"/>
          <w:sz w:val="18"/>
          <w:szCs w:val="18"/>
        </w:rPr>
        <w:t>人民</w:t>
      </w:r>
      <w:r>
        <w:rPr>
          <w:rFonts w:ascii="Arial" w:hAnsi="Arial" w:cs="Arial"/>
          <w:color w:val="000000"/>
          <w:kern w:val="0"/>
          <w:sz w:val="18"/>
          <w:szCs w:val="18"/>
          <w:lang w:eastAsia="zh-Hans"/>
        </w:rPr>
        <w:t>币  </w:t>
      </w:r>
      <w:r>
        <w:rPr>
          <w:rFonts w:hint="eastAsia" w:ascii="Arial" w:hAnsi="Arial" w:cs="Arial"/>
          <w:color w:val="000000"/>
          <w:kern w:val="0"/>
          <w:sz w:val="18"/>
          <w:szCs w:val="18"/>
          <w:highlight w:val="yellow"/>
          <w:lang w:val="en-US" w:eastAsia="zh-CN"/>
        </w:rPr>
        <w:t xml:space="preserve">         </w:t>
      </w:r>
      <w:r>
        <w:rPr>
          <w:rFonts w:ascii="Arial" w:hAnsi="Arial" w:cs="Arial"/>
          <w:color w:val="000000"/>
          <w:kern w:val="0"/>
          <w:sz w:val="18"/>
          <w:szCs w:val="18"/>
          <w:lang w:eastAsia="zh-Hans"/>
        </w:rPr>
        <w:t>整）。</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四、甲方的权利和义务</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1、协议期间，在乙方无违约的前提下，甲方确保本协议下的生活垃圾由乙方清运。</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2、甲方有权监督检查乙方的生活垃圾清运质量。有权对乙方现场清运过程中出现的“满桶、漏桶、落渣、漏渣”等不符合生活垃圾清运质量的现象要求立即整改。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3、甲方的生活垃圾一律投放到垃圾容器内，并保证送给畅通。</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4、甲方如遇检查等特殊情况，需提前书面或电话通知乙方，乙方须配合甲方适当增加垃圾清运次数。</w:t>
      </w:r>
    </w:p>
    <w:p>
      <w:pPr>
        <w:widowControl/>
        <w:spacing w:after="150"/>
        <w:ind w:firstLine="480"/>
        <w:rPr>
          <w:rFonts w:hint="eastAsia" w:ascii="Arial" w:hAnsi="Arial" w:cs="Arial"/>
          <w:color w:val="000000"/>
          <w:kern w:val="0"/>
          <w:sz w:val="18"/>
          <w:szCs w:val="18"/>
          <w:lang w:eastAsia="zh-Hans"/>
        </w:rPr>
      </w:pPr>
      <w:r>
        <w:rPr>
          <w:rFonts w:hint="eastAsia" w:ascii="Arial" w:hAnsi="Arial" w:cs="Arial"/>
          <w:color w:val="000000"/>
          <w:kern w:val="0"/>
          <w:sz w:val="18"/>
          <w:szCs w:val="18"/>
          <w:lang w:eastAsia="zh-Hans"/>
        </w:rPr>
        <w:t>5、乙方必须合法取得国家规定清运生活垃圾单位的所有合法资质和清运能力，遵守甲方相关管理制度。</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五、乙方的权利和义务</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1、协议期间，乙方须无条件的接受甲方的监督检查和整改要求。</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2、乙方须按本协议要求，保质保量完成甲方委托的生活垃圾清运工作，应做到垃圾日产日清。</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3、乙方每次清运后不得有“落渣和漏桶”现象，清运完毕后需将垃圾容器归位至指定位置。若乙方清运出现“落渣、漏渣” 现象时，须及时将现场处理干净。</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4、乙方在清运过程中有损坏</w:t>
      </w:r>
      <w:r>
        <w:rPr>
          <w:rFonts w:hint="eastAsia" w:ascii="Arial" w:hAnsi="Arial" w:cs="Arial"/>
          <w:color w:val="000000"/>
          <w:kern w:val="0"/>
          <w:sz w:val="18"/>
          <w:szCs w:val="18"/>
          <w:lang w:eastAsia="zh-Hans"/>
        </w:rPr>
        <w:t>甲方公物</w:t>
      </w:r>
      <w:r>
        <w:rPr>
          <w:rFonts w:ascii="Arial" w:hAnsi="Arial" w:cs="Arial"/>
          <w:color w:val="000000"/>
          <w:kern w:val="0"/>
          <w:sz w:val="18"/>
          <w:szCs w:val="18"/>
          <w:lang w:eastAsia="zh-Hans"/>
        </w:rPr>
        <w:t>及其他公用设施的，乙方负责照价赔偿。</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6、乙方如遇垃圾场变阻等特殊原因，应及时通知甲方主管人员，</w:t>
      </w:r>
      <w:r>
        <w:rPr>
          <w:rFonts w:hint="eastAsia" w:ascii="Arial" w:hAnsi="Arial" w:cs="Arial"/>
          <w:color w:val="000000"/>
          <w:kern w:val="0"/>
          <w:sz w:val="18"/>
          <w:szCs w:val="18"/>
          <w:lang w:eastAsia="zh-Hans"/>
        </w:rPr>
        <w:t>当天协调及时处理</w:t>
      </w:r>
      <w:r>
        <w:rPr>
          <w:rFonts w:ascii="Arial" w:hAnsi="Arial" w:cs="Arial"/>
          <w:color w:val="000000"/>
          <w:kern w:val="0"/>
          <w:sz w:val="18"/>
          <w:szCs w:val="18"/>
          <w:lang w:eastAsia="zh-Hans"/>
        </w:rPr>
        <w:t>。</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7、乙方应指派专人检查、督促甲方现场的生活垃圾清运情况，及时收集甲方的反馈意见。</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8、乙方在垃圾清运工作时应做到安全、有序，自觉遵守管理制度。乙方人员</w:t>
      </w:r>
      <w:r>
        <w:rPr>
          <w:rFonts w:hint="eastAsia" w:ascii="Arial" w:hAnsi="Arial" w:cs="Arial"/>
          <w:color w:val="000000"/>
          <w:kern w:val="0"/>
          <w:sz w:val="18"/>
          <w:szCs w:val="18"/>
          <w:lang w:eastAsia="zh-Hans"/>
        </w:rPr>
        <w:t>、车辆</w:t>
      </w:r>
      <w:r>
        <w:rPr>
          <w:rFonts w:ascii="Arial" w:hAnsi="Arial" w:cs="Arial"/>
          <w:color w:val="000000"/>
          <w:kern w:val="0"/>
          <w:sz w:val="18"/>
          <w:szCs w:val="18"/>
          <w:lang w:eastAsia="zh-Hans"/>
        </w:rPr>
        <w:t>在垃圾清运工作时，发生</w:t>
      </w:r>
      <w:r>
        <w:rPr>
          <w:rFonts w:hint="eastAsia" w:ascii="Arial" w:hAnsi="Arial" w:cs="Arial"/>
          <w:color w:val="000000"/>
          <w:kern w:val="0"/>
          <w:sz w:val="18"/>
          <w:szCs w:val="18"/>
          <w:lang w:eastAsia="zh-Hans"/>
        </w:rPr>
        <w:t>人员</w:t>
      </w:r>
      <w:r>
        <w:rPr>
          <w:rFonts w:ascii="Arial" w:hAnsi="Arial" w:cs="Arial"/>
          <w:color w:val="000000"/>
          <w:kern w:val="0"/>
          <w:sz w:val="18"/>
          <w:szCs w:val="18"/>
          <w:lang w:eastAsia="zh-Hans"/>
        </w:rPr>
        <w:t>伤亡</w:t>
      </w:r>
      <w:r>
        <w:rPr>
          <w:rFonts w:hint="eastAsia" w:ascii="Arial" w:hAnsi="Arial" w:cs="Arial"/>
          <w:color w:val="000000"/>
          <w:kern w:val="0"/>
          <w:sz w:val="18"/>
          <w:szCs w:val="18"/>
          <w:lang w:eastAsia="zh-Hans"/>
        </w:rPr>
        <w:t>、车辆损坏</w:t>
      </w:r>
      <w:r>
        <w:rPr>
          <w:rFonts w:ascii="Arial" w:hAnsi="Arial" w:cs="Arial"/>
          <w:color w:val="000000"/>
          <w:kern w:val="0"/>
          <w:sz w:val="18"/>
          <w:szCs w:val="18"/>
          <w:lang w:eastAsia="zh-Hans"/>
        </w:rPr>
        <w:t>等安全事故，其一切责任由乙方自负，甲方不承担任何</w:t>
      </w:r>
      <w:r>
        <w:rPr>
          <w:rFonts w:hint="eastAsia" w:ascii="Arial" w:hAnsi="Arial" w:cs="Arial"/>
          <w:color w:val="000000"/>
          <w:kern w:val="0"/>
          <w:sz w:val="18"/>
          <w:szCs w:val="18"/>
          <w:lang w:eastAsia="zh-Hans"/>
        </w:rPr>
        <w:t>经济和法律</w:t>
      </w:r>
      <w:r>
        <w:rPr>
          <w:rFonts w:ascii="Arial" w:hAnsi="Arial" w:cs="Arial"/>
          <w:color w:val="000000"/>
          <w:kern w:val="0"/>
          <w:sz w:val="18"/>
          <w:szCs w:val="18"/>
          <w:lang w:eastAsia="zh-Hans"/>
        </w:rPr>
        <w:t>责任。</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六、违约责任</w:t>
      </w:r>
    </w:p>
    <w:p>
      <w:pPr>
        <w:widowControl/>
        <w:spacing w:after="150"/>
        <w:ind w:firstLine="480"/>
        <w:rPr>
          <w:rFonts w:hint="eastAsia" w:ascii="Arial" w:hAnsi="Arial" w:cs="Arial"/>
          <w:color w:val="000000"/>
          <w:kern w:val="0"/>
          <w:sz w:val="18"/>
          <w:szCs w:val="18"/>
          <w:lang w:eastAsia="zh-Hans"/>
        </w:rPr>
      </w:pPr>
      <w:r>
        <w:rPr>
          <w:rFonts w:ascii="Arial" w:hAnsi="Arial" w:cs="Arial"/>
          <w:color w:val="000000"/>
          <w:kern w:val="0"/>
          <w:sz w:val="18"/>
          <w:szCs w:val="18"/>
          <w:lang w:eastAsia="zh-Hans"/>
        </w:rPr>
        <w:t>1、乙方每天清运生活垃圾没有达到甲方要求的，甲方有权扣除当天的生活垃圾清运费用（特殊情况除外，但乙方必须事先通知甲方）。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2、乙方如没有按甲方要求保质保量履行日常垃圾清运工作</w:t>
      </w:r>
      <w:r>
        <w:rPr>
          <w:rFonts w:hint="eastAsia" w:ascii="Arial" w:hAnsi="Arial" w:cs="Arial"/>
          <w:color w:val="000000"/>
          <w:kern w:val="0"/>
          <w:sz w:val="18"/>
          <w:szCs w:val="18"/>
          <w:lang w:eastAsia="zh-Hans"/>
        </w:rPr>
        <w:t>三次，给甲方造成较大损失的</w:t>
      </w:r>
      <w:r>
        <w:rPr>
          <w:rFonts w:ascii="Arial" w:hAnsi="Arial" w:cs="Arial"/>
          <w:color w:val="000000"/>
          <w:kern w:val="0"/>
          <w:sz w:val="18"/>
          <w:szCs w:val="18"/>
          <w:lang w:eastAsia="zh-Hans"/>
        </w:rPr>
        <w:t>，甲方有权单方终止协议，并</w:t>
      </w:r>
      <w:r>
        <w:rPr>
          <w:rFonts w:hint="eastAsia" w:ascii="Arial" w:hAnsi="Arial" w:cs="Arial"/>
          <w:color w:val="000000"/>
          <w:kern w:val="0"/>
          <w:sz w:val="18"/>
          <w:szCs w:val="18"/>
          <w:lang w:eastAsia="zh-Hans"/>
        </w:rPr>
        <w:t>承担经济和法律责任</w:t>
      </w:r>
      <w:r>
        <w:rPr>
          <w:rFonts w:ascii="Arial" w:hAnsi="Arial" w:cs="Arial"/>
          <w:color w:val="000000"/>
          <w:kern w:val="0"/>
          <w:sz w:val="18"/>
          <w:szCs w:val="18"/>
          <w:lang w:eastAsia="zh-Hans"/>
        </w:rPr>
        <w:t>。</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3</w:t>
      </w:r>
      <w:r>
        <w:rPr>
          <w:rFonts w:hint="eastAsia" w:ascii="Arial" w:hAnsi="Arial" w:cs="Arial"/>
          <w:color w:val="000000"/>
          <w:kern w:val="0"/>
          <w:sz w:val="18"/>
          <w:szCs w:val="18"/>
          <w:lang w:eastAsia="zh-Hans"/>
        </w:rPr>
        <w:t>、</w:t>
      </w:r>
      <w:r>
        <w:rPr>
          <w:rFonts w:ascii="Arial" w:hAnsi="Arial" w:cs="Arial"/>
          <w:color w:val="000000"/>
          <w:kern w:val="0"/>
          <w:sz w:val="18"/>
          <w:szCs w:val="18"/>
          <w:lang w:eastAsia="zh-Hans"/>
        </w:rPr>
        <w:t>如乙方提出终止协议，需提前一个月通知甲方，经甲方同意后，方可终止协议。</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七、协议的续签与变更：</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本协议到期日前一个月，由甲方通知乙方续签本协议。如若甲方未通知乙方，协议有效期顺延直至签订新协议。如若乙方接到甲方通知7天内未与甲方续签本协议，视为本协议终止。</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八、争议的解决</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本协议未尽事宜，由甲、乙双方另行协商解决。协商不成时，双方同意提交甲方所在地人民法院解决。</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九、附则</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1、本协议经甲、乙双方代表人签字并加盖公章生效。</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2、本协议壹式肆份，甲、乙双方各执贰份。</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 </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甲方：                                     乙方：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 </w:t>
      </w:r>
    </w:p>
    <w:p>
      <w:pPr>
        <w:widowControl/>
        <w:spacing w:after="150"/>
        <w:ind w:firstLine="480"/>
        <w:rPr>
          <w:rFonts w:ascii="Arial" w:hAnsi="Arial" w:cs="Arial"/>
          <w:color w:val="000000"/>
          <w:kern w:val="0"/>
          <w:sz w:val="18"/>
          <w:szCs w:val="18"/>
          <w:lang w:eastAsia="zh-Hans"/>
        </w:rPr>
      </w:pPr>
      <w:bookmarkStart w:id="14" w:name="_Hlk156468623"/>
      <w:r>
        <w:rPr>
          <w:rFonts w:hint="eastAsia" w:ascii="Arial" w:hAnsi="Arial" w:cs="Arial"/>
          <w:color w:val="000000"/>
          <w:kern w:val="0"/>
          <w:sz w:val="18"/>
          <w:szCs w:val="18"/>
          <w:lang w:eastAsia="zh-Hans"/>
        </w:rPr>
        <w:t>（法人或代理人）</w:t>
      </w:r>
      <w:bookmarkEnd w:id="14"/>
      <w:r>
        <w:rPr>
          <w:rFonts w:ascii="Arial" w:hAnsi="Arial" w:cs="Arial"/>
          <w:color w:val="000000"/>
          <w:kern w:val="0"/>
          <w:sz w:val="18"/>
          <w:szCs w:val="18"/>
          <w:lang w:eastAsia="zh-Hans"/>
        </w:rPr>
        <w:t>签字：                               </w:t>
      </w:r>
      <w:r>
        <w:rPr>
          <w:rFonts w:hint="eastAsia" w:ascii="Arial" w:hAnsi="Arial" w:cs="Arial"/>
          <w:color w:val="000000"/>
          <w:kern w:val="0"/>
          <w:sz w:val="18"/>
          <w:szCs w:val="18"/>
          <w:lang w:eastAsia="zh-Hans"/>
        </w:rPr>
        <w:t>（法人或代理人）</w:t>
      </w:r>
      <w:r>
        <w:rPr>
          <w:rFonts w:ascii="Arial" w:hAnsi="Arial" w:cs="Arial"/>
          <w:color w:val="000000"/>
          <w:kern w:val="0"/>
          <w:sz w:val="18"/>
          <w:szCs w:val="18"/>
          <w:lang w:eastAsia="zh-Hans"/>
        </w:rPr>
        <w:t>签字：</w:t>
      </w:r>
    </w:p>
    <w:p>
      <w:pPr>
        <w:widowControl/>
        <w:spacing w:after="150"/>
        <w:ind w:firstLine="480"/>
        <w:rPr>
          <w:rFonts w:hint="eastAsia" w:ascii="Arial" w:hAnsi="Arial" w:cs="Arial"/>
          <w:color w:val="000000"/>
          <w:kern w:val="0"/>
          <w:sz w:val="18"/>
          <w:szCs w:val="18"/>
          <w:lang w:eastAsia="zh-Hans"/>
        </w:rPr>
      </w:pPr>
    </w:p>
    <w:p>
      <w:pPr>
        <w:widowControl/>
        <w:spacing w:after="150"/>
        <w:ind w:firstLine="480"/>
        <w:rPr>
          <w:rFonts w:ascii="Arial" w:hAnsi="Arial" w:cs="Arial"/>
          <w:color w:val="000000"/>
          <w:kern w:val="0"/>
          <w:sz w:val="18"/>
          <w:szCs w:val="18"/>
          <w:lang w:eastAsia="zh-Hans"/>
        </w:rPr>
      </w:pP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  </w:t>
      </w:r>
      <w:bookmarkStart w:id="15" w:name="_Hlk156468667"/>
      <w:r>
        <w:rPr>
          <w:rFonts w:ascii="Arial" w:hAnsi="Arial" w:cs="Arial"/>
          <w:color w:val="000000"/>
          <w:kern w:val="0"/>
          <w:sz w:val="18"/>
          <w:szCs w:val="18"/>
          <w:lang w:eastAsia="zh-Hans"/>
        </w:rPr>
        <w:t> 签约时间：       年    月    日</w:t>
      </w:r>
      <w:bookmarkEnd w:id="15"/>
      <w:r>
        <w:rPr>
          <w:rFonts w:hint="eastAsia" w:ascii="Arial" w:hAnsi="Arial" w:cs="Arial"/>
          <w:color w:val="000000"/>
          <w:kern w:val="0"/>
          <w:sz w:val="18"/>
          <w:szCs w:val="18"/>
          <w:lang w:eastAsia="zh-Hans"/>
        </w:rPr>
        <w:t xml:space="preserve"> </w:t>
      </w:r>
      <w:r>
        <w:rPr>
          <w:rFonts w:ascii="Arial" w:hAnsi="Arial" w:cs="Arial"/>
          <w:color w:val="000000"/>
          <w:kern w:val="0"/>
          <w:sz w:val="18"/>
          <w:szCs w:val="18"/>
          <w:lang w:eastAsia="zh-Hans"/>
        </w:rPr>
        <w:t xml:space="preserve">               签约时间：       年    月    日</w:t>
      </w:r>
    </w:p>
    <w:p>
      <w:pPr/>
    </w:p>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00000000" w:usb1="00000000"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44</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35</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FE661483"/>
    <w:multiLevelType w:val="singleLevel"/>
    <w:tmpl w:val="FE661483"/>
    <w:lvl w:ilvl="0" w:tentative="0">
      <w:start w:val="2"/>
      <w:numFmt w:val="decimal"/>
      <w:suff w:val="space"/>
      <w:lvlText w:val="%1."/>
      <w:lvlJc w:val="left"/>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5ADD373"/>
    <w:multiLevelType w:val="singleLevel"/>
    <w:tmpl w:val="65ADD373"/>
    <w:lvl w:ilvl="0" w:tentative="0">
      <w:start w:val="1"/>
      <w:numFmt w:val="chineseCounting"/>
      <w:suff w:val="nothing"/>
      <w:lvlText w:val="%1、"/>
      <w:lvlJc w:val="left"/>
      <w:pPr>
        <w:ind w:left="0" w:firstLine="0"/>
      </w:pPr>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5"/>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unhideWhenUsed/>
    <w:qFormat/>
    <w:uiPriority w:val="0"/>
    <w:pPr>
      <w:spacing w:after="120"/>
    </w:pPr>
  </w:style>
  <w:style w:type="paragraph" w:styleId="5">
    <w:name w:val="caption"/>
    <w:basedOn w:val="1"/>
    <w:next w:val="1"/>
    <w:qFormat/>
    <w:uiPriority w:val="0"/>
    <w:pPr>
      <w:spacing w:before="152"/>
    </w:pPr>
    <w:rPr>
      <w:rFonts w:ascii="Arial" w:hAnsi="Arial" w:eastAsia="黑体" w:cs="Arial"/>
      <w:kern w:val="0"/>
      <w:sz w:val="20"/>
      <w:szCs w:val="20"/>
    </w:rPr>
  </w:style>
  <w:style w:type="paragraph" w:styleId="6">
    <w:name w:val="annotation text"/>
    <w:basedOn w:val="1"/>
    <w:qFormat/>
    <w:uiPriority w:val="0"/>
    <w:pPr>
      <w:jc w:val="left"/>
    </w:pPr>
  </w:style>
  <w:style w:type="paragraph" w:styleId="7">
    <w:name w:val="Date"/>
    <w:basedOn w:val="1"/>
    <w:next w:val="1"/>
    <w:link w:val="15"/>
    <w:unhideWhenUsed/>
    <w:qFormat/>
    <w:uiPriority w:val="99"/>
    <w:pPr>
      <w:ind w:left="100" w:leftChars="2500"/>
    </w:p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qFormat/>
    <w:uiPriority w:val="39"/>
  </w:style>
  <w:style w:type="character" w:styleId="12">
    <w:name w:val="page number"/>
    <w:basedOn w:val="11"/>
    <w:qFormat/>
    <w:uiPriority w:val="0"/>
    <w:rPr>
      <w:rFonts w:ascii="Calibri" w:hAnsi="Calibri" w:eastAsia="宋体" w:cs="Times New Roman"/>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日期 字符"/>
    <w:basedOn w:val="11"/>
    <w:link w:val="7"/>
    <w:semiHidden/>
    <w:qFormat/>
    <w:uiPriority w:val="99"/>
  </w:style>
  <w:style w:type="paragraph" w:customStyle="1" w:styleId="16">
    <w:name w:val="List Paragraph"/>
    <w:basedOn w:val="1"/>
    <w:qFormat/>
    <w:uiPriority w:val="34"/>
    <w:pPr>
      <w:ind w:firstLine="420" w:firstLineChars="200"/>
    </w:pPr>
  </w:style>
  <w:style w:type="paragraph" w:customStyle="1" w:styleId="17">
    <w:name w:val="正文首行缩进两字符"/>
    <w:basedOn w:val="18"/>
    <w:qFormat/>
    <w:uiPriority w:val="0"/>
    <w:pPr>
      <w:spacing w:line="360" w:lineRule="auto"/>
      <w:ind w:firstLine="200" w:firstLineChars="200"/>
    </w:pPr>
  </w:style>
  <w:style w:type="paragraph" w:customStyle="1" w:styleId="18">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样式1"/>
    <w:basedOn w:val="22"/>
    <w:qFormat/>
    <w:uiPriority w:val="0"/>
    <w:pPr>
      <w:spacing w:after="0" w:line="400" w:lineRule="exact"/>
      <w:jc w:val="center"/>
    </w:pPr>
    <w:rPr>
      <w:rFonts w:ascii="仿宋" w:hAnsi="仿宋" w:eastAsia="仿宋" w:cs="Times New Roman"/>
      <w:kern w:val="2"/>
      <w:szCs w:val="28"/>
    </w:rPr>
  </w:style>
  <w:style w:type="paragraph" w:customStyle="1" w:styleId="2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3">
    <w:name w:val="font61"/>
    <w:basedOn w:val="11"/>
    <w:qFormat/>
    <w:uiPriority w:val="0"/>
    <w:rPr>
      <w:rFonts w:hint="eastAsia" w:ascii="宋体" w:hAnsi="宋体" w:eastAsia="宋体" w:cs="宋体"/>
      <w:color w:val="000000"/>
      <w:sz w:val="24"/>
      <w:szCs w:val="24"/>
      <w:u w:val="none"/>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0</TotalTime>
  <ScaleCrop>false</ScaleCrop>
  <LinksUpToDate>false</LinksUpToDate>
  <CharactersWithSpaces>4174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2023-08-27T10:32:00Z</dcterms:created>
  <dc:creator>韦生键</dc:creator>
  <cp:lastModifiedBy>iPhone</cp:lastModifiedBy>
  <dcterms:modified xsi:type="dcterms:W3CDTF">2024-01-22T10:31:56Z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2052-12.8.1</vt:lpwstr>
  </property>
  <property fmtid="{D5CDD505-2E9C-101B-9397-08002B2CF9AE}" pid="3" name="ICV">
    <vt:lpwstr>AC5F9E0CF43B4ABA862AF7E2AD419C4F_13</vt:lpwstr>
  </property>
</Properties>
</file>