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hAnsi="仿宋_GB2312" w:eastAsia="仿宋_GB2312" w:cs="仿宋_GB2312"/>
          <w:sz w:val="44"/>
          <w:szCs w:val="44"/>
        </w:rPr>
      </w:pPr>
      <w:bookmarkStart w:id="0" w:name="_Toc12497"/>
      <w:bookmarkStart w:id="1" w:name="_Toc213397009"/>
      <w:bookmarkStart w:id="2" w:name="_Toc213396759"/>
      <w:bookmarkStart w:id="3" w:name="_Toc213496267"/>
      <w:bookmarkStart w:id="4" w:name="_Toc213396945"/>
      <w:bookmarkStart w:id="5" w:name="_Toc217446031"/>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成都汽车职业技术学校2024年</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教职工春游项目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2024年3月</w:t>
      </w:r>
    </w:p>
    <w:p>
      <w:pPr>
        <w:spacing w:line="700" w:lineRule="exact"/>
        <w:jc w:val="center"/>
        <w:rPr>
          <w:rFonts w:ascii="仿宋_GB2312" w:hAnsi="仿宋_GB2312" w:eastAsia="仿宋_GB2312" w:cs="仿宋_GB2312"/>
          <w:bCs/>
          <w:sz w:val="44"/>
          <w:szCs w:val="44"/>
        </w:rPr>
      </w:pPr>
      <w:bookmarkStart w:id="6" w:name="_Hlt101843627"/>
      <w:bookmarkEnd w:id="6"/>
      <w:bookmarkStart w:id="7" w:name="_Hlt101233737"/>
      <w:bookmarkEnd w:id="7"/>
      <w:r>
        <w:rPr>
          <w:rFonts w:hint="eastAsia" w:ascii="仿宋_GB2312" w:hAnsi="仿宋_GB2312" w:eastAsia="仿宋_GB2312" w:cs="仿宋_GB2312"/>
          <w:bCs/>
          <w:sz w:val="44"/>
          <w:szCs w:val="44"/>
        </w:rPr>
        <w:t>目    录</w:t>
      </w:r>
    </w:p>
    <w:p>
      <w:pPr>
        <w:jc w:val="center"/>
        <w:rPr>
          <w:rFonts w:ascii="仿宋_GB2312" w:hAnsi="仿宋_GB2312" w:eastAsia="仿宋_GB2312" w:cs="仿宋_GB2312"/>
          <w:b/>
          <w:bCs/>
          <w:sz w:val="36"/>
          <w:szCs w:val="36"/>
        </w:rPr>
      </w:pPr>
    </w:p>
    <w:p>
      <w:pPr>
        <w:pStyle w:val="19"/>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fldChar w:fldCharType="begin"/>
      </w:r>
      <w:r>
        <w:instrText xml:space="preserve"> HYPERLINK \l "_Toc19653" </w:instrText>
      </w:r>
      <w: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fldChar w:fldCharType="end"/>
      </w:r>
    </w:p>
    <w:p>
      <w:pPr>
        <w:pStyle w:val="19"/>
        <w:tabs>
          <w:tab w:val="right" w:leader="dot" w:pos="8959"/>
        </w:tabs>
      </w:pPr>
      <w:r>
        <w:fldChar w:fldCharType="begin"/>
      </w:r>
      <w:r>
        <w:instrText xml:space="preserve"> HYPERLINK \l "_Toc5696" </w:instrText>
      </w:r>
      <w: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4</w:t>
      </w:r>
      <w:r>
        <w:fldChar w:fldCharType="end"/>
      </w:r>
      <w:r>
        <w:fldChar w:fldCharType="end"/>
      </w:r>
    </w:p>
    <w:p>
      <w:pPr>
        <w:pStyle w:val="19"/>
        <w:tabs>
          <w:tab w:val="right" w:leader="dot" w:pos="8959"/>
        </w:tabs>
      </w:pPr>
      <w:r>
        <w:fldChar w:fldCharType="begin"/>
      </w:r>
      <w:r>
        <w:instrText xml:space="preserve"> HYPERLINK \l "_Toc3081" </w:instrText>
      </w:r>
      <w: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18</w:t>
      </w:r>
      <w:r>
        <w:fldChar w:fldCharType="end"/>
      </w:r>
      <w:r>
        <w:fldChar w:fldCharType="end"/>
      </w:r>
    </w:p>
    <w:p>
      <w:pPr>
        <w:pStyle w:val="19"/>
        <w:tabs>
          <w:tab w:val="right" w:leader="dot" w:pos="8959"/>
        </w:tabs>
      </w:pPr>
      <w:r>
        <w:fldChar w:fldCharType="begin"/>
      </w:r>
      <w:r>
        <w:instrText xml:space="preserve"> HYPERLINK \l "_Toc18544" </w:instrText>
      </w:r>
      <w: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27</w:t>
      </w:r>
      <w:r>
        <w:fldChar w:fldCharType="end"/>
      </w:r>
      <w:r>
        <w:fldChar w:fldCharType="end"/>
      </w:r>
    </w:p>
    <w:p>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pPr>
        <w:pStyle w:val="2"/>
        <w:spacing w:line="700" w:lineRule="exact"/>
        <w:jc w:val="center"/>
        <w:rPr>
          <w:rFonts w:ascii="仿宋_GB2312" w:hAnsi="仿宋_GB2312" w:eastAsia="仿宋_GB2312" w:cs="仿宋_GB2312"/>
          <w:b w:val="0"/>
        </w:rPr>
      </w:pPr>
      <w:bookmarkStart w:id="9" w:name="_Toc19653"/>
      <w:r>
        <w:rPr>
          <w:rFonts w:hint="eastAsia"/>
          <w:sz w:val="36"/>
          <w:szCs w:val="28"/>
        </w:rPr>
        <w:t>第一章  比选公告</w:t>
      </w:r>
      <w:bookmarkEnd w:id="9"/>
    </w:p>
    <w:p>
      <w:pPr>
        <w:pStyle w:val="37"/>
        <w:ind w:firstLine="600" w:firstLineChars="250"/>
        <w:rPr>
          <w:rFonts w:hAnsi="宋体" w:cs="宋体"/>
          <w:sz w:val="24"/>
          <w:szCs w:val="24"/>
        </w:rPr>
      </w:pPr>
      <w:r>
        <w:rPr>
          <w:rFonts w:hint="eastAsia" w:hAnsi="宋体" w:cs="宋体"/>
          <w:sz w:val="24"/>
          <w:szCs w:val="24"/>
        </w:rPr>
        <w:t>成都汽车职业技术学校拟对成都汽车职业技术学校2024年教职工春游项目进行比选。兹邀请符合本次比选条件的比选申请人参加。</w:t>
      </w:r>
    </w:p>
    <w:p>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成都汽车职业技术学校2024年教职工春游项目</w:t>
      </w:r>
    </w:p>
    <w:p>
      <w:pPr>
        <w:spacing w:line="360" w:lineRule="auto"/>
        <w:ind w:firstLine="482" w:firstLineChars="200"/>
        <w:rPr>
          <w:rFonts w:ascii="宋体" w:hAnsi="宋体" w:cs="宋体"/>
          <w:b/>
          <w:color w:val="FF0000"/>
          <w:sz w:val="24"/>
        </w:rPr>
      </w:pPr>
      <w:r>
        <w:rPr>
          <w:rFonts w:hint="eastAsia" w:ascii="宋体" w:hAnsi="宋体" w:cs="宋体"/>
          <w:b/>
          <w:color w:val="FF0000"/>
          <w:sz w:val="24"/>
        </w:rPr>
        <w:t>二、项目编号：QCZX-GH-20240319</w:t>
      </w:r>
    </w:p>
    <w:p>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pPr>
        <w:pStyle w:val="37"/>
        <w:ind w:firstLine="600" w:firstLineChars="250"/>
        <w:rPr>
          <w:rFonts w:hAnsi="宋体" w:cs="宋体"/>
          <w:sz w:val="24"/>
          <w:szCs w:val="24"/>
        </w:rPr>
      </w:pPr>
      <w:r>
        <w:rPr>
          <w:rFonts w:hint="eastAsia" w:hAnsi="宋体" w:cs="宋体"/>
          <w:sz w:val="24"/>
          <w:szCs w:val="24"/>
        </w:rPr>
        <w:t>1、具有独立承担民事责任的能力；</w:t>
      </w:r>
    </w:p>
    <w:p>
      <w:pPr>
        <w:pStyle w:val="36"/>
        <w:ind w:firstLine="480" w:firstLineChars="200"/>
        <w:rPr>
          <w:kern w:val="2"/>
          <w:lang w:val="zh-CN"/>
        </w:rPr>
      </w:pPr>
      <w:r>
        <w:rPr>
          <w:rFonts w:hint="eastAsia"/>
          <w:kern w:val="2"/>
          <w:lang w:val="zh-CN"/>
        </w:rPr>
        <w:t>2、具有良好的商业信誉和健全的财务会计制度；</w:t>
      </w:r>
    </w:p>
    <w:p>
      <w:pPr>
        <w:pStyle w:val="36"/>
        <w:ind w:firstLine="480" w:firstLineChars="200"/>
        <w:rPr>
          <w:kern w:val="2"/>
          <w:lang w:val="zh-CN"/>
        </w:rPr>
      </w:pPr>
      <w:r>
        <w:rPr>
          <w:rFonts w:hint="eastAsia"/>
          <w:kern w:val="2"/>
          <w:lang w:val="zh-CN"/>
        </w:rPr>
        <w:t>3、具有履行合同所必需的设备和专业技术能力；</w:t>
      </w:r>
    </w:p>
    <w:p>
      <w:pPr>
        <w:pStyle w:val="36"/>
        <w:ind w:firstLine="480" w:firstLineChars="200"/>
        <w:rPr>
          <w:kern w:val="2"/>
          <w:lang w:val="zh-CN"/>
        </w:rPr>
      </w:pPr>
      <w:r>
        <w:rPr>
          <w:rFonts w:hint="eastAsia"/>
          <w:kern w:val="2"/>
          <w:lang w:val="zh-CN"/>
        </w:rPr>
        <w:t>4、具有依法缴纳税收和社会保障资金的良好记录；</w:t>
      </w:r>
    </w:p>
    <w:p>
      <w:pPr>
        <w:pStyle w:val="36"/>
        <w:ind w:firstLine="480" w:firstLineChars="200"/>
        <w:rPr>
          <w:kern w:val="2"/>
          <w:lang w:val="zh-CN"/>
        </w:rPr>
      </w:pPr>
      <w:r>
        <w:rPr>
          <w:rFonts w:hint="eastAsia"/>
          <w:kern w:val="2"/>
          <w:lang w:val="zh-CN"/>
        </w:rPr>
        <w:t>5、参加本次采购活动前三年内，在经营活动中没有重大违法记录；</w:t>
      </w:r>
    </w:p>
    <w:p>
      <w:pPr>
        <w:pStyle w:val="36"/>
        <w:ind w:firstLine="480" w:firstLineChars="200"/>
        <w:rPr>
          <w:kern w:val="2"/>
          <w:lang w:val="zh-CN"/>
        </w:rPr>
      </w:pPr>
      <w:r>
        <w:rPr>
          <w:rFonts w:hint="eastAsia"/>
          <w:kern w:val="2"/>
          <w:lang w:val="zh-CN"/>
        </w:rPr>
        <w:t>6、法律、行政法规规定的其他条件；</w:t>
      </w:r>
    </w:p>
    <w:p>
      <w:pPr>
        <w:pStyle w:val="36"/>
        <w:ind w:firstLine="480" w:firstLineChars="200"/>
        <w:rPr>
          <w:kern w:val="2"/>
          <w:lang w:val="zh-CN"/>
        </w:rPr>
      </w:pPr>
      <w:r>
        <w:rPr>
          <w:rFonts w:hint="eastAsia"/>
          <w:kern w:val="2"/>
          <w:lang w:val="zh-CN"/>
        </w:rPr>
        <w:t>7、根据采购项目提出的特殊条件。（详见比选文件第四章）</w:t>
      </w:r>
    </w:p>
    <w:p>
      <w:pPr>
        <w:pStyle w:val="37"/>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pStyle w:val="37"/>
        <w:ind w:firstLine="600" w:firstLineChars="250"/>
        <w:rPr>
          <w:rFonts w:hAnsi="宋体" w:cs="宋体"/>
          <w:color w:val="FF0000"/>
          <w:sz w:val="24"/>
        </w:rPr>
      </w:pPr>
      <w:r>
        <w:rPr>
          <w:rFonts w:hint="eastAsia" w:hAnsi="宋体" w:cs="宋体"/>
          <w:sz w:val="24"/>
          <w:szCs w:val="24"/>
        </w:rPr>
        <w:t>比选文件详见公告下方附件1。</w:t>
      </w:r>
    </w:p>
    <w:p>
      <w:pPr>
        <w:pStyle w:val="37"/>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pPr>
        <w:spacing w:line="360" w:lineRule="auto"/>
        <w:ind w:firstLine="480" w:firstLineChars="200"/>
        <w:jc w:val="left"/>
        <w:rPr>
          <w:rFonts w:ascii="宋体" w:hAnsi="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成都汽车职业技术学校工会（成都市龙泉驿区幸福路388号）</w:t>
      </w:r>
    </w:p>
    <w:p>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rPr>
        <w:t>2024年03月22日12时00分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pPr>
        <w:pStyle w:val="37"/>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37"/>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37"/>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2024年03月22日14时00分</w:t>
      </w:r>
      <w:r>
        <w:rPr>
          <w:rFonts w:hint="eastAsia" w:ascii="宋体" w:hAnsi="宋体" w:cs="宋体"/>
          <w:b/>
          <w:sz w:val="24"/>
        </w:rPr>
        <w:t>（北京时间）</w:t>
      </w:r>
      <w:r>
        <w:rPr>
          <w:rFonts w:hint="eastAsia" w:ascii="宋体" w:hAnsi="宋体" w:cs="宋体"/>
          <w:sz w:val="24"/>
        </w:rPr>
        <w:t>。</w:t>
      </w:r>
    </w:p>
    <w:p>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2" w:firstLineChars="200"/>
        <w:jc w:val="left"/>
        <w:rPr>
          <w:rFonts w:ascii="宋体" w:hAnsi="宋体" w:cs="宋体"/>
          <w:b/>
          <w:sz w:val="24"/>
        </w:rPr>
      </w:pPr>
      <w:r>
        <w:rPr>
          <w:rFonts w:hint="eastAsia" w:ascii="宋体" w:hAnsi="宋体" w:cs="宋体"/>
          <w:b/>
          <w:sz w:val="24"/>
        </w:rPr>
        <w:t>八、联系方式</w:t>
      </w:r>
    </w:p>
    <w:p>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人：魏老师</w:t>
      </w:r>
    </w:p>
    <w:p>
      <w:pPr>
        <w:spacing w:line="360" w:lineRule="auto"/>
        <w:ind w:firstLine="960" w:firstLineChars="400"/>
        <w:rPr>
          <w:bCs/>
        </w:rPr>
      </w:pPr>
      <w:r>
        <w:rPr>
          <w:rFonts w:hint="eastAsia" w:ascii="宋体" w:hAnsi="宋体" w:cs="宋体"/>
          <w:bCs/>
          <w:sz w:val="24"/>
        </w:rPr>
        <w:t>联系电话：13882219136（微信同号）</w:t>
      </w:r>
    </w:p>
    <w:p>
      <w:pPr>
        <w:rPr>
          <w:rFonts w:ascii="仿宋_GB2312" w:hAnsi="仿宋_GB2312" w:eastAsia="仿宋_GB2312" w:cs="仿宋_GB2312"/>
        </w:rPr>
      </w:pPr>
    </w:p>
    <w:p>
      <w:pPr>
        <w:pStyle w:val="2"/>
        <w:spacing w:before="120" w:after="120" w:line="700" w:lineRule="exact"/>
        <w:jc w:val="center"/>
        <w:rPr>
          <w:sz w:val="36"/>
          <w:szCs w:val="28"/>
        </w:rPr>
      </w:pPr>
      <w:bookmarkStart w:id="10" w:name="_Toc5696"/>
      <w:r>
        <w:rPr>
          <w:rFonts w:hint="eastAsia"/>
          <w:sz w:val="36"/>
          <w:szCs w:val="28"/>
        </w:rPr>
        <w:t>第二章</w:t>
      </w:r>
      <w:r>
        <w:rPr>
          <w:rFonts w:hint="eastAsia" w:ascii="仿宋_GB2312" w:hAnsi="仿宋_GB2312" w:eastAsia="仿宋_GB2312" w:cs="仿宋_GB2312"/>
          <w:b w:val="0"/>
        </w:rPr>
        <w:t xml:space="preserve">  </w:t>
      </w:r>
      <w:bookmarkEnd w:id="0"/>
      <w:bookmarkEnd w:id="1"/>
      <w:bookmarkEnd w:id="2"/>
      <w:bookmarkEnd w:id="3"/>
      <w:bookmarkEnd w:id="4"/>
      <w:bookmarkEnd w:id="5"/>
      <w:bookmarkEnd w:id="10"/>
      <w:bookmarkStart w:id="11" w:name="_Toc955"/>
      <w:r>
        <w:rPr>
          <w:rFonts w:hint="eastAsia"/>
          <w:sz w:val="36"/>
          <w:szCs w:val="28"/>
        </w:rPr>
        <w:t>投标人须知</w:t>
      </w:r>
      <w:bookmarkEnd w:id="11"/>
    </w:p>
    <w:p>
      <w:pPr>
        <w:jc w:val="left"/>
        <w:rPr>
          <w:rFonts w:ascii="宋体" w:hAnsi="宋体" w:cs="宋体"/>
          <w:sz w:val="32"/>
          <w:szCs w:val="32"/>
        </w:rPr>
      </w:pPr>
      <w:r>
        <w:rPr>
          <w:rFonts w:hint="eastAsia" w:ascii="宋体" w:hAnsi="宋体" w:cs="宋体"/>
          <w:sz w:val="32"/>
          <w:szCs w:val="32"/>
        </w:rPr>
        <w:t>项目名称：成都汽车职业技术学校2024年教职工春游项目</w:t>
      </w:r>
    </w:p>
    <w:p>
      <w:pPr>
        <w:jc w:val="left"/>
        <w:rPr>
          <w:rFonts w:ascii="宋体" w:hAnsi="宋体" w:cs="宋体"/>
          <w:b/>
          <w:sz w:val="28"/>
          <w:szCs w:val="28"/>
        </w:rPr>
      </w:pPr>
      <w:r>
        <w:rPr>
          <w:rFonts w:hint="eastAsia" w:ascii="宋体" w:hAnsi="宋体" w:cs="宋体"/>
          <w:sz w:val="32"/>
          <w:szCs w:val="32"/>
        </w:rPr>
        <w:t>编号：</w:t>
      </w:r>
      <w:r>
        <w:rPr>
          <w:rFonts w:hint="eastAsia" w:ascii="宋体" w:hAnsi="宋体" w:cs="宋体"/>
          <w:b/>
          <w:sz w:val="28"/>
          <w:szCs w:val="28"/>
        </w:rPr>
        <w:t>QCZX-GH-20240319</w:t>
      </w:r>
    </w:p>
    <w:p>
      <w:pPr>
        <w:jc w:val="left"/>
        <w:rPr>
          <w:rFonts w:ascii="宋体" w:hAnsi="宋体" w:cs="宋体"/>
          <w:sz w:val="32"/>
          <w:szCs w:val="32"/>
          <w:u w:val="single"/>
        </w:rPr>
      </w:pPr>
      <w:r>
        <w:rPr>
          <w:rFonts w:hint="eastAsia" w:ascii="宋体" w:hAnsi="宋体" w:cs="宋体"/>
          <w:sz w:val="32"/>
          <w:szCs w:val="32"/>
        </w:rPr>
        <w:t>最高限价：</w:t>
      </w:r>
      <w:r>
        <w:rPr>
          <w:rFonts w:hint="eastAsia" w:ascii="宋体" w:hAnsi="宋体" w:cs="宋体"/>
          <w:sz w:val="32"/>
          <w:szCs w:val="32"/>
          <w:u w:val="single"/>
        </w:rPr>
        <w:t>200元/人</w:t>
      </w:r>
    </w:p>
    <w:tbl>
      <w:tblPr>
        <w:tblStyle w:val="29"/>
        <w:tblpPr w:leftFromText="180" w:rightFromText="180" w:vertAnchor="text" w:horzAnchor="margin" w:tblpY="44"/>
        <w:tblOverlap w:val="never"/>
        <w:tblW w:w="46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524"/>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pct"/>
            <w:shd w:val="clear" w:color="auto" w:fill="DEEBF6" w:themeFill="accent1" w:themeFillTint="32"/>
            <w:vAlign w:val="center"/>
          </w:tcPr>
          <w:p>
            <w:pPr>
              <w:pStyle w:val="10"/>
              <w:jc w:val="center"/>
              <w:rPr>
                <w:rFonts w:ascii="宋体" w:hAnsi="宋体" w:cs="宋体"/>
                <w:b/>
                <w:bCs/>
                <w:kern w:val="0"/>
                <w:sz w:val="32"/>
                <w:szCs w:val="44"/>
              </w:rPr>
            </w:pPr>
            <w:r>
              <w:rPr>
                <w:rFonts w:hint="eastAsia" w:ascii="宋体" w:hAnsi="宋体" w:cs="宋体"/>
                <w:b/>
                <w:bCs/>
                <w:kern w:val="0"/>
                <w:sz w:val="32"/>
                <w:szCs w:val="44"/>
              </w:rPr>
              <w:t>序号</w:t>
            </w:r>
          </w:p>
        </w:tc>
        <w:tc>
          <w:tcPr>
            <w:tcW w:w="2242" w:type="pct"/>
            <w:shd w:val="clear" w:color="auto" w:fill="DEEBF6" w:themeFill="accent1" w:themeFillTint="32"/>
            <w:vAlign w:val="center"/>
          </w:tcPr>
          <w:p>
            <w:pPr>
              <w:pStyle w:val="10"/>
              <w:jc w:val="center"/>
              <w:rPr>
                <w:rFonts w:ascii="宋体" w:hAnsi="宋体" w:cs="宋体"/>
                <w:b/>
                <w:bCs/>
                <w:kern w:val="0"/>
                <w:sz w:val="32"/>
                <w:szCs w:val="44"/>
              </w:rPr>
            </w:pPr>
            <w:r>
              <w:rPr>
                <w:rFonts w:hint="eastAsia" w:ascii="宋体" w:hAnsi="宋体" w:cs="宋体"/>
                <w:b/>
                <w:bCs/>
                <w:kern w:val="0"/>
                <w:sz w:val="32"/>
                <w:szCs w:val="44"/>
              </w:rPr>
              <w:t>项目名称</w:t>
            </w:r>
          </w:p>
        </w:tc>
        <w:tc>
          <w:tcPr>
            <w:tcW w:w="2049" w:type="pct"/>
            <w:shd w:val="clear" w:color="auto" w:fill="DEEBF6" w:themeFill="accent1" w:themeFillTint="32"/>
            <w:vAlign w:val="center"/>
          </w:tcPr>
          <w:p>
            <w:pPr>
              <w:pStyle w:val="10"/>
              <w:jc w:val="center"/>
              <w:rPr>
                <w:rFonts w:ascii="宋体" w:hAnsi="宋体" w:cs="宋体"/>
                <w:b/>
                <w:bCs/>
                <w:kern w:val="0"/>
                <w:sz w:val="32"/>
                <w:szCs w:val="44"/>
              </w:rPr>
            </w:pPr>
            <w:r>
              <w:rPr>
                <w:rFonts w:hint="eastAsia" w:ascii="宋体" w:hAnsi="宋体" w:cs="宋体"/>
                <w:b/>
                <w:bCs/>
                <w:kern w:val="0"/>
                <w:sz w:val="32"/>
                <w:szCs w:val="44"/>
              </w:rPr>
              <w:t>报价（元/人）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pct"/>
            <w:vAlign w:val="center"/>
          </w:tcPr>
          <w:p>
            <w:pPr>
              <w:pStyle w:val="10"/>
              <w:jc w:val="center"/>
              <w:rPr>
                <w:rFonts w:ascii="宋体" w:hAnsi="宋体" w:cs="宋体"/>
                <w:kern w:val="0"/>
                <w:sz w:val="24"/>
              </w:rPr>
            </w:pPr>
            <w:r>
              <w:rPr>
                <w:rFonts w:hint="eastAsia" w:ascii="宋体" w:hAnsi="宋体" w:cs="宋体"/>
                <w:sz w:val="24"/>
              </w:rPr>
              <w:t>1</w:t>
            </w:r>
          </w:p>
        </w:tc>
        <w:tc>
          <w:tcPr>
            <w:tcW w:w="2242" w:type="pct"/>
            <w:vAlign w:val="center"/>
          </w:tcPr>
          <w:p>
            <w:pPr>
              <w:jc w:val="left"/>
              <w:rPr>
                <w:rFonts w:ascii="宋体" w:hAnsi="宋体" w:cs="宋体"/>
                <w:kern w:val="0"/>
                <w:sz w:val="24"/>
              </w:rPr>
            </w:pPr>
            <w:r>
              <w:rPr>
                <w:rFonts w:hint="eastAsia" w:ascii="宋体" w:hAnsi="宋体" w:cs="宋体"/>
                <w:sz w:val="24"/>
              </w:rPr>
              <w:t>成都汽车职业技术学校2024年教职工春游项目</w:t>
            </w:r>
          </w:p>
        </w:tc>
        <w:tc>
          <w:tcPr>
            <w:tcW w:w="2049" w:type="pct"/>
            <w:vAlign w:val="center"/>
          </w:tcPr>
          <w:p>
            <w:pPr>
              <w:pStyle w:val="10"/>
              <w:jc w:val="center"/>
              <w:rPr>
                <w:rFonts w:ascii="宋体" w:hAnsi="宋体" w:cs="宋体"/>
                <w:kern w:val="0"/>
                <w:sz w:val="24"/>
              </w:rPr>
            </w:pPr>
          </w:p>
        </w:tc>
      </w:tr>
    </w:tbl>
    <w:p>
      <w:pPr>
        <w:jc w:val="left"/>
        <w:rPr>
          <w:rFonts w:ascii="宋体" w:hAnsi="宋体" w:cs="宋体"/>
          <w:b/>
          <w:bCs/>
          <w:sz w:val="32"/>
          <w:szCs w:val="32"/>
        </w:rPr>
      </w:pPr>
    </w:p>
    <w:p>
      <w:pPr>
        <w:jc w:val="left"/>
        <w:rPr>
          <w:rFonts w:ascii="宋体" w:hAnsi="宋体" w:cs="宋体"/>
          <w:b/>
          <w:bCs/>
          <w:sz w:val="32"/>
          <w:szCs w:val="32"/>
        </w:rPr>
      </w:pPr>
    </w:p>
    <w:p>
      <w:pPr>
        <w:jc w:val="left"/>
        <w:rPr>
          <w:rFonts w:ascii="宋体" w:hAnsi="宋体" w:cs="宋体"/>
          <w:b/>
          <w:bCs/>
          <w:sz w:val="32"/>
          <w:szCs w:val="32"/>
        </w:rPr>
      </w:pPr>
    </w:p>
    <w:p>
      <w:pPr>
        <w:jc w:val="left"/>
        <w:rPr>
          <w:rFonts w:ascii="宋体" w:hAnsi="宋体" w:cs="宋体"/>
          <w:b/>
          <w:bCs/>
          <w:sz w:val="32"/>
          <w:szCs w:val="32"/>
        </w:rPr>
      </w:pPr>
    </w:p>
    <w:p>
      <w:pPr>
        <w:jc w:val="left"/>
        <w:rPr>
          <w:rFonts w:ascii="宋体" w:hAnsi="宋体" w:cs="宋体"/>
          <w:b/>
          <w:bCs/>
          <w:sz w:val="32"/>
          <w:szCs w:val="32"/>
        </w:rPr>
      </w:pPr>
      <w:r>
        <w:rPr>
          <w:rFonts w:hint="eastAsia" w:ascii="宋体" w:hAnsi="宋体" w:cs="宋体"/>
          <w:b/>
          <w:bCs/>
          <w:sz w:val="32"/>
          <w:szCs w:val="32"/>
        </w:rPr>
        <w:t>1.采购清单和技术参数</w:t>
      </w:r>
    </w:p>
    <w:tbl>
      <w:tblPr>
        <w:tblStyle w:val="28"/>
        <w:tblpPr w:leftFromText="180" w:rightFromText="180" w:vertAnchor="text" w:horzAnchor="page" w:tblpX="1118" w:tblpY="396"/>
        <w:tblOverlap w:val="never"/>
        <w:tblW w:w="9909"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60"/>
        <w:gridCol w:w="2796"/>
        <w:gridCol w:w="65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6" w:hRule="atLeast"/>
          <w:tblHeader/>
        </w:trPr>
        <w:tc>
          <w:tcPr>
            <w:tcW w:w="560" w:type="dxa"/>
            <w:vAlign w:val="center"/>
          </w:tcPr>
          <w:p>
            <w:pPr>
              <w:pStyle w:val="36"/>
              <w:spacing w:line="360" w:lineRule="auto"/>
              <w:ind w:left="9"/>
              <w:jc w:val="center"/>
              <w:rPr>
                <w:b/>
                <w:bCs/>
                <w:kern w:val="2"/>
              </w:rPr>
            </w:pPr>
            <w:r>
              <w:rPr>
                <w:rFonts w:hint="eastAsia"/>
                <w:b/>
                <w:bCs/>
                <w:kern w:val="2"/>
              </w:rPr>
              <w:t>序号</w:t>
            </w:r>
          </w:p>
        </w:tc>
        <w:tc>
          <w:tcPr>
            <w:tcW w:w="2796" w:type="dxa"/>
            <w:vAlign w:val="center"/>
          </w:tcPr>
          <w:p>
            <w:pPr>
              <w:pStyle w:val="36"/>
              <w:spacing w:line="360" w:lineRule="auto"/>
              <w:ind w:left="38"/>
              <w:jc w:val="center"/>
              <w:rPr>
                <w:b/>
                <w:bCs/>
                <w:kern w:val="2"/>
              </w:rPr>
            </w:pPr>
            <w:r>
              <w:rPr>
                <w:rFonts w:hint="eastAsia"/>
                <w:b/>
                <w:bCs/>
                <w:kern w:val="2"/>
              </w:rPr>
              <w:t>条款名称</w:t>
            </w:r>
          </w:p>
        </w:tc>
        <w:tc>
          <w:tcPr>
            <w:tcW w:w="6553" w:type="dxa"/>
            <w:vAlign w:val="center"/>
          </w:tcPr>
          <w:p>
            <w:pPr>
              <w:pStyle w:val="36"/>
              <w:spacing w:line="360" w:lineRule="auto"/>
              <w:ind w:right="99" w:rightChars="47"/>
              <w:jc w:val="center"/>
              <w:rPr>
                <w:b/>
                <w:bCs/>
                <w:kern w:val="2"/>
              </w:rPr>
            </w:pPr>
            <w:r>
              <w:rPr>
                <w:rFonts w:hint="eastAsia"/>
                <w:b/>
                <w:bCs/>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560" w:type="dxa"/>
            <w:vAlign w:val="center"/>
          </w:tcPr>
          <w:p>
            <w:pPr>
              <w:spacing w:line="360" w:lineRule="auto"/>
              <w:jc w:val="center"/>
              <w:rPr>
                <w:rFonts w:ascii="宋体" w:hAnsi="宋体" w:cs="宋体"/>
                <w:sz w:val="24"/>
              </w:rPr>
            </w:pPr>
            <w:r>
              <w:rPr>
                <w:rFonts w:hint="eastAsia" w:ascii="宋体" w:hAnsi="宋体" w:cs="宋体"/>
                <w:sz w:val="24"/>
              </w:rPr>
              <w:t>1</w:t>
            </w:r>
          </w:p>
        </w:tc>
        <w:tc>
          <w:tcPr>
            <w:tcW w:w="2796" w:type="dxa"/>
            <w:tcBorders>
              <w:top w:val="single" w:color="auto" w:sz="4" w:space="0"/>
            </w:tcBorders>
            <w:vAlign w:val="center"/>
          </w:tcPr>
          <w:p>
            <w:pPr>
              <w:pStyle w:val="36"/>
              <w:spacing w:line="360" w:lineRule="auto"/>
              <w:jc w:val="center"/>
              <w:rPr>
                <w:kern w:val="2"/>
              </w:rPr>
            </w:pPr>
            <w:r>
              <w:rPr>
                <w:rFonts w:hint="eastAsia"/>
                <w:kern w:val="2"/>
                <w:lang w:val="zh-CN"/>
              </w:rPr>
              <w:t>最高限价</w:t>
            </w:r>
          </w:p>
        </w:tc>
        <w:tc>
          <w:tcPr>
            <w:tcW w:w="6553" w:type="dxa"/>
            <w:tcBorders>
              <w:top w:val="single" w:color="auto" w:sz="4" w:space="0"/>
            </w:tcBorders>
            <w:vAlign w:val="center"/>
          </w:tcPr>
          <w:p>
            <w:pPr>
              <w:widowControl/>
              <w:spacing w:line="360" w:lineRule="auto"/>
              <w:ind w:right="99" w:rightChars="47" w:firstLine="456" w:firstLineChars="190"/>
              <w:rPr>
                <w:rFonts w:ascii="宋体" w:hAnsi="宋体" w:cs="宋体"/>
                <w:sz w:val="24"/>
              </w:rPr>
            </w:pPr>
            <w:r>
              <w:rPr>
                <w:rFonts w:hint="eastAsia" w:ascii="宋体" w:hAnsi="宋体" w:cs="宋体"/>
                <w:sz w:val="24"/>
              </w:rPr>
              <w:t>成人200元/人，儿童1</w:t>
            </w:r>
            <w:r>
              <w:rPr>
                <w:rFonts w:ascii="宋体" w:hAnsi="宋体" w:cs="宋体"/>
                <w:sz w:val="24"/>
              </w:rPr>
              <w:t>4</w:t>
            </w:r>
            <w:r>
              <w:rPr>
                <w:rFonts w:hint="eastAsia" w:ascii="宋体" w:hAnsi="宋体" w:cs="宋体"/>
                <w:sz w:val="24"/>
              </w:rPr>
              <w:t>0元/人</w:t>
            </w:r>
          </w:p>
          <w:p>
            <w:pPr>
              <w:widowControl/>
              <w:spacing w:line="360" w:lineRule="auto"/>
              <w:ind w:right="99" w:rightChars="47" w:firstLine="456" w:firstLineChars="190"/>
              <w:rPr>
                <w:rFonts w:ascii="宋体" w:hAnsi="宋体" w:cs="宋体"/>
                <w:sz w:val="24"/>
              </w:rPr>
            </w:pPr>
            <w:r>
              <w:rPr>
                <w:rFonts w:hint="eastAsia" w:ascii="宋体" w:hAnsi="宋体" w:cs="宋体"/>
                <w:sz w:val="24"/>
              </w:rPr>
              <w:t>超过比选预算的报价，其比选申请文件作无效处理</w:t>
            </w:r>
            <w:r>
              <w:rPr>
                <w:rFonts w:hint="eastAsia" w:ascii="宋体" w:hAnsi="宋体" w:cs="宋体"/>
                <w:b/>
                <w:bCs/>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560" w:type="dxa"/>
            <w:vAlign w:val="center"/>
          </w:tcPr>
          <w:p>
            <w:pPr>
              <w:widowControl/>
              <w:spacing w:line="360" w:lineRule="auto"/>
              <w:ind w:right="99" w:rightChars="47"/>
              <w:jc w:val="center"/>
              <w:rPr>
                <w:rFonts w:ascii="宋体" w:hAnsi="宋体" w:cs="宋体"/>
                <w:sz w:val="24"/>
              </w:rPr>
            </w:pPr>
            <w:r>
              <w:rPr>
                <w:rFonts w:hint="eastAsia" w:ascii="宋体" w:hAnsi="宋体" w:cs="宋体"/>
                <w:sz w:val="24"/>
              </w:rPr>
              <w:t xml:space="preserve"> 2</w:t>
            </w:r>
          </w:p>
        </w:tc>
        <w:tc>
          <w:tcPr>
            <w:tcW w:w="2796" w:type="dxa"/>
            <w:vAlign w:val="center"/>
          </w:tcPr>
          <w:p>
            <w:pPr>
              <w:widowControl/>
              <w:spacing w:line="360" w:lineRule="auto"/>
              <w:ind w:left="199" w:leftChars="95" w:right="99" w:rightChars="47"/>
              <w:jc w:val="center"/>
              <w:rPr>
                <w:rFonts w:ascii="宋体" w:hAnsi="宋体" w:cs="宋体"/>
                <w:sz w:val="24"/>
              </w:rPr>
            </w:pPr>
            <w:r>
              <w:rPr>
                <w:rFonts w:hint="eastAsia" w:ascii="宋体" w:hAnsi="宋体" w:cs="宋体"/>
                <w:sz w:val="24"/>
              </w:rPr>
              <w:t>采购方式及评审方法</w:t>
            </w:r>
          </w:p>
        </w:tc>
        <w:tc>
          <w:tcPr>
            <w:tcW w:w="6553" w:type="dxa"/>
            <w:tcBorders>
              <w:top w:val="single" w:color="auto" w:sz="4" w:space="0"/>
            </w:tcBorders>
            <w:vAlign w:val="center"/>
          </w:tcPr>
          <w:p>
            <w:pPr>
              <w:widowControl/>
              <w:spacing w:line="360" w:lineRule="auto"/>
              <w:ind w:right="99" w:rightChars="47" w:firstLine="456" w:firstLineChars="190"/>
              <w:rPr>
                <w:rFonts w:ascii="宋体" w:hAnsi="宋体" w:cs="宋体"/>
                <w:kern w:val="0"/>
                <w:sz w:val="24"/>
              </w:rPr>
            </w:pPr>
            <w:r>
              <w:rPr>
                <w:rFonts w:hint="eastAsia" w:ascii="宋体" w:hAnsi="宋体" w:cs="宋体"/>
                <w:kern w:val="0"/>
                <w:sz w:val="24"/>
              </w:rPr>
              <w:t>比选,综合评分法。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3" w:hRule="atLeast"/>
        </w:trPr>
        <w:tc>
          <w:tcPr>
            <w:tcW w:w="560" w:type="dxa"/>
            <w:tcBorders>
              <w:bottom w:val="single" w:color="auto" w:sz="8" w:space="0"/>
            </w:tcBorders>
            <w:vAlign w:val="center"/>
          </w:tcPr>
          <w:p>
            <w:pPr>
              <w:pStyle w:val="36"/>
              <w:spacing w:line="360" w:lineRule="auto"/>
              <w:jc w:val="center"/>
              <w:rPr>
                <w:kern w:val="2"/>
              </w:rPr>
            </w:pPr>
            <w:r>
              <w:rPr>
                <w:rFonts w:hint="eastAsia"/>
                <w:kern w:val="2"/>
              </w:rPr>
              <w:t>3</w:t>
            </w:r>
          </w:p>
        </w:tc>
        <w:tc>
          <w:tcPr>
            <w:tcW w:w="2796" w:type="dxa"/>
            <w:tcBorders>
              <w:bottom w:val="single" w:color="auto" w:sz="8" w:space="0"/>
            </w:tcBorders>
            <w:vAlign w:val="center"/>
          </w:tcPr>
          <w:p>
            <w:pPr>
              <w:pStyle w:val="36"/>
              <w:spacing w:line="360" w:lineRule="auto"/>
              <w:ind w:left="38"/>
              <w:jc w:val="center"/>
              <w:rPr>
                <w:kern w:val="2"/>
              </w:rPr>
            </w:pPr>
            <w:r>
              <w:rPr>
                <w:rFonts w:hint="eastAsia"/>
                <w:kern w:val="2"/>
              </w:rPr>
              <w:t>比选申请有效期</w:t>
            </w:r>
          </w:p>
          <w:p>
            <w:pPr>
              <w:pStyle w:val="36"/>
              <w:spacing w:line="360" w:lineRule="auto"/>
              <w:ind w:left="38"/>
              <w:jc w:val="center"/>
              <w:rPr>
                <w:kern w:val="2"/>
              </w:rPr>
            </w:pPr>
            <w:r>
              <w:rPr>
                <w:rFonts w:hint="eastAsia"/>
                <w:b/>
                <w:bCs/>
                <w:kern w:val="2"/>
              </w:rPr>
              <w:t>（实质性要求）</w:t>
            </w:r>
          </w:p>
        </w:tc>
        <w:tc>
          <w:tcPr>
            <w:tcW w:w="6553" w:type="dxa"/>
            <w:tcBorders>
              <w:bottom w:val="single" w:color="auto" w:sz="8" w:space="0"/>
            </w:tcBorders>
            <w:vAlign w:val="center"/>
          </w:tcPr>
          <w:p>
            <w:pPr>
              <w:pStyle w:val="36"/>
              <w:spacing w:line="360" w:lineRule="auto"/>
              <w:ind w:right="99" w:rightChars="47" w:firstLine="456" w:firstLineChars="190"/>
              <w:jc w:val="both"/>
            </w:pPr>
            <w:r>
              <w:rPr>
                <w:rFonts w:hint="eastAsia"/>
              </w:rPr>
              <w:t>截止递交比选申请文件之日起</w:t>
            </w:r>
            <w:r>
              <w:rPr>
                <w:rFonts w:hint="eastAsia"/>
                <w:b/>
                <w:bCs/>
              </w:rPr>
              <w:t>90天</w:t>
            </w:r>
            <w:r>
              <w:rPr>
                <w:rFonts w:hint="eastAsi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atLeast"/>
        </w:trPr>
        <w:tc>
          <w:tcPr>
            <w:tcW w:w="560" w:type="dxa"/>
            <w:vAlign w:val="center"/>
          </w:tcPr>
          <w:p>
            <w:pPr>
              <w:pStyle w:val="36"/>
              <w:spacing w:line="360" w:lineRule="auto"/>
              <w:jc w:val="center"/>
              <w:rPr>
                <w:kern w:val="2"/>
              </w:rPr>
            </w:pPr>
            <w:r>
              <w:rPr>
                <w:rFonts w:hint="eastAsia"/>
                <w:kern w:val="2"/>
              </w:rPr>
              <w:t>4</w:t>
            </w:r>
          </w:p>
        </w:tc>
        <w:tc>
          <w:tcPr>
            <w:tcW w:w="2796" w:type="dxa"/>
            <w:vAlign w:val="center"/>
          </w:tcPr>
          <w:p>
            <w:pPr>
              <w:pStyle w:val="36"/>
              <w:spacing w:line="360" w:lineRule="auto"/>
              <w:ind w:left="96"/>
              <w:jc w:val="center"/>
              <w:rPr>
                <w:lang w:val="zh-CN"/>
              </w:rPr>
            </w:pPr>
            <w:r>
              <w:rPr>
                <w:rFonts w:hint="eastAsia"/>
                <w:lang w:val="zh-CN"/>
              </w:rPr>
              <w:t>比选保证金</w:t>
            </w:r>
          </w:p>
        </w:tc>
        <w:tc>
          <w:tcPr>
            <w:tcW w:w="6553" w:type="dxa"/>
            <w:vAlign w:val="center"/>
          </w:tcPr>
          <w:p>
            <w:pPr>
              <w:pStyle w:val="36"/>
              <w:ind w:firstLine="480" w:firstLineChars="200"/>
              <w:rPr>
                <w:kern w:val="2"/>
                <w:lang w:val="zh-CN"/>
              </w:rPr>
            </w:pPr>
            <w:r>
              <w:rPr>
                <w:rFonts w:hint="eastAsia"/>
                <w:kern w:val="2"/>
                <w:lang w:val="zh-CN"/>
              </w:rPr>
              <w:t>本项目不收取比选保证金。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6" w:hRule="atLeast"/>
        </w:trPr>
        <w:tc>
          <w:tcPr>
            <w:tcW w:w="560" w:type="dxa"/>
            <w:vAlign w:val="center"/>
          </w:tcPr>
          <w:p>
            <w:pPr>
              <w:pStyle w:val="36"/>
              <w:spacing w:line="360" w:lineRule="auto"/>
              <w:jc w:val="center"/>
              <w:rPr>
                <w:kern w:val="2"/>
              </w:rPr>
            </w:pPr>
            <w:r>
              <w:rPr>
                <w:rFonts w:hint="eastAsia"/>
                <w:kern w:val="2"/>
              </w:rPr>
              <w:t>5</w:t>
            </w:r>
          </w:p>
        </w:tc>
        <w:tc>
          <w:tcPr>
            <w:tcW w:w="2796" w:type="dxa"/>
            <w:vAlign w:val="center"/>
          </w:tcPr>
          <w:p>
            <w:pPr>
              <w:pStyle w:val="36"/>
              <w:spacing w:line="360" w:lineRule="auto"/>
              <w:ind w:left="96"/>
              <w:jc w:val="center"/>
              <w:rPr>
                <w:lang w:val="zh-CN"/>
              </w:rPr>
            </w:pPr>
            <w:r>
              <w:rPr>
                <w:rFonts w:hint="eastAsia"/>
                <w:lang w:val="zh-CN"/>
              </w:rPr>
              <w:t>履约保证金</w:t>
            </w:r>
          </w:p>
        </w:tc>
        <w:tc>
          <w:tcPr>
            <w:tcW w:w="6553" w:type="dxa"/>
            <w:vAlign w:val="center"/>
          </w:tcPr>
          <w:p>
            <w:pPr>
              <w:pStyle w:val="36"/>
              <w:spacing w:line="360" w:lineRule="auto"/>
              <w:ind w:firstLine="480" w:firstLineChars="200"/>
              <w:jc w:val="both"/>
              <w:rPr>
                <w:kern w:val="2"/>
                <w:lang w:val="zh-CN"/>
              </w:rPr>
            </w:pPr>
            <w:r>
              <w:rPr>
                <w:rFonts w:hint="eastAsia"/>
                <w:kern w:val="2"/>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5" w:hRule="atLeast"/>
        </w:trPr>
        <w:tc>
          <w:tcPr>
            <w:tcW w:w="560" w:type="dxa"/>
            <w:tcBorders>
              <w:top w:val="single" w:color="auto" w:sz="4" w:space="0"/>
              <w:bottom w:val="single" w:color="auto" w:sz="4" w:space="0"/>
            </w:tcBorders>
            <w:vAlign w:val="center"/>
          </w:tcPr>
          <w:p>
            <w:pPr>
              <w:pStyle w:val="36"/>
              <w:spacing w:line="360" w:lineRule="auto"/>
              <w:jc w:val="center"/>
              <w:rPr>
                <w:kern w:val="2"/>
              </w:rPr>
            </w:pPr>
            <w:r>
              <w:rPr>
                <w:rFonts w:hint="eastAsia"/>
                <w:kern w:val="2"/>
              </w:rPr>
              <w:t>6</w:t>
            </w:r>
          </w:p>
        </w:tc>
        <w:tc>
          <w:tcPr>
            <w:tcW w:w="2796" w:type="dxa"/>
            <w:tcBorders>
              <w:top w:val="single" w:color="auto" w:sz="4" w:space="0"/>
              <w:bottom w:val="single" w:color="auto" w:sz="4" w:space="0"/>
            </w:tcBorders>
            <w:vAlign w:val="center"/>
          </w:tcPr>
          <w:p>
            <w:pPr>
              <w:pStyle w:val="36"/>
              <w:spacing w:line="360" w:lineRule="auto"/>
              <w:ind w:left="96"/>
              <w:jc w:val="center"/>
              <w:rPr>
                <w:lang w:val="zh-CN"/>
              </w:rPr>
            </w:pPr>
            <w:r>
              <w:rPr>
                <w:rFonts w:hint="eastAsia"/>
                <w:lang w:val="zh-CN"/>
              </w:rPr>
              <w:t>比选申请文件份数、包装及密封要求</w:t>
            </w:r>
          </w:p>
        </w:tc>
        <w:tc>
          <w:tcPr>
            <w:tcW w:w="6553" w:type="dxa"/>
            <w:tcBorders>
              <w:top w:val="single" w:color="auto" w:sz="4" w:space="0"/>
              <w:bottom w:val="single" w:color="auto" w:sz="4" w:space="0"/>
            </w:tcBorders>
            <w:vAlign w:val="center"/>
          </w:tcPr>
          <w:p>
            <w:pPr>
              <w:pStyle w:val="36"/>
              <w:spacing w:line="360" w:lineRule="auto"/>
              <w:ind w:firstLine="480" w:firstLineChars="200"/>
              <w:jc w:val="both"/>
              <w:rPr>
                <w:kern w:val="2"/>
                <w:lang w:val="zh-CN"/>
              </w:rPr>
            </w:pPr>
            <w:r>
              <w:rPr>
                <w:rFonts w:hint="eastAsia"/>
                <w:kern w:val="2"/>
              </w:rPr>
              <w:t>1.</w:t>
            </w:r>
            <w:r>
              <w:rPr>
                <w:rFonts w:hint="eastAsia"/>
                <w:kern w:val="2"/>
                <w:lang w:val="zh-CN"/>
              </w:rPr>
              <w:t>正本一份，副本</w:t>
            </w:r>
            <w:r>
              <w:rPr>
                <w:rFonts w:hint="eastAsia"/>
                <w:kern w:val="2"/>
              </w:rPr>
              <w:t>一</w:t>
            </w:r>
            <w:r>
              <w:rPr>
                <w:rFonts w:hint="eastAsia"/>
                <w:kern w:val="2"/>
                <w:lang w:val="zh-CN"/>
              </w:rPr>
              <w:t>份。当副本和正本不一致时，以正本为准，但副本和正本内容不一致造成的评审差错由比选申请人自行承担。</w:t>
            </w:r>
          </w:p>
          <w:p>
            <w:pPr>
              <w:pStyle w:val="36"/>
              <w:spacing w:line="360" w:lineRule="auto"/>
              <w:ind w:firstLine="480" w:firstLineChars="200"/>
              <w:jc w:val="both"/>
              <w:rPr>
                <w:lang w:val="zh-CN"/>
              </w:rPr>
            </w:pPr>
            <w:r>
              <w:rPr>
                <w:rFonts w:hint="eastAsia"/>
                <w:kern w:val="2"/>
                <w:lang w:val="zh-CN"/>
              </w:rPr>
              <w:t>2.比选申请文件的正本和副本应密封包装。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560" w:type="dxa"/>
            <w:tcBorders>
              <w:top w:val="single" w:color="auto" w:sz="4" w:space="0"/>
              <w:bottom w:val="single" w:color="auto" w:sz="4" w:space="0"/>
            </w:tcBorders>
            <w:vAlign w:val="center"/>
          </w:tcPr>
          <w:p>
            <w:pPr>
              <w:pStyle w:val="36"/>
              <w:spacing w:line="360" w:lineRule="auto"/>
              <w:jc w:val="center"/>
              <w:rPr>
                <w:kern w:val="2"/>
              </w:rPr>
            </w:pPr>
            <w:r>
              <w:rPr>
                <w:rFonts w:hint="eastAsia"/>
                <w:kern w:val="2"/>
              </w:rPr>
              <w:t>7</w:t>
            </w:r>
          </w:p>
        </w:tc>
        <w:tc>
          <w:tcPr>
            <w:tcW w:w="2796" w:type="dxa"/>
            <w:tcBorders>
              <w:top w:val="single" w:color="auto" w:sz="4" w:space="0"/>
              <w:bottom w:val="single" w:color="auto" w:sz="4" w:space="0"/>
            </w:tcBorders>
            <w:vAlign w:val="center"/>
          </w:tcPr>
          <w:p>
            <w:pPr>
              <w:pStyle w:val="36"/>
              <w:spacing w:line="360" w:lineRule="auto"/>
              <w:ind w:left="96"/>
              <w:jc w:val="center"/>
              <w:rPr>
                <w:lang w:val="zh-CN"/>
              </w:rPr>
            </w:pPr>
            <w:r>
              <w:rPr>
                <w:rFonts w:hint="eastAsia"/>
                <w:lang w:val="zh-CN"/>
              </w:rPr>
              <w:t>是否退还比选申请文件</w:t>
            </w:r>
            <w:r>
              <w:rPr>
                <w:rFonts w:hint="eastAsia"/>
                <w:b/>
                <w:bCs/>
                <w:lang w:val="zh-CN"/>
              </w:rPr>
              <w:t>（实质性要求）</w:t>
            </w:r>
          </w:p>
        </w:tc>
        <w:tc>
          <w:tcPr>
            <w:tcW w:w="6553" w:type="dxa"/>
            <w:tcBorders>
              <w:top w:val="single" w:color="auto" w:sz="4" w:space="0"/>
              <w:bottom w:val="single" w:color="auto" w:sz="4" w:space="0"/>
            </w:tcBorders>
            <w:vAlign w:val="center"/>
          </w:tcPr>
          <w:p>
            <w:pPr>
              <w:pStyle w:val="36"/>
              <w:spacing w:line="360" w:lineRule="auto"/>
              <w:ind w:left="96"/>
              <w:jc w:val="center"/>
              <w:rPr>
                <w:lang w:val="zh-CN"/>
              </w:rPr>
            </w:pPr>
            <w:r>
              <w:rPr>
                <w:rFonts w:hint="eastAsia"/>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5" w:hRule="atLeast"/>
        </w:trPr>
        <w:tc>
          <w:tcPr>
            <w:tcW w:w="560" w:type="dxa"/>
            <w:tcBorders>
              <w:top w:val="single" w:color="auto" w:sz="4" w:space="0"/>
              <w:bottom w:val="single" w:color="auto" w:sz="4" w:space="0"/>
            </w:tcBorders>
            <w:vAlign w:val="center"/>
          </w:tcPr>
          <w:p>
            <w:pPr>
              <w:pStyle w:val="36"/>
              <w:spacing w:line="360" w:lineRule="auto"/>
              <w:jc w:val="center"/>
              <w:rPr>
                <w:kern w:val="2"/>
              </w:rPr>
            </w:pPr>
            <w:r>
              <w:rPr>
                <w:rFonts w:hint="eastAsia"/>
                <w:kern w:val="2"/>
              </w:rPr>
              <w:t>8</w:t>
            </w:r>
          </w:p>
        </w:tc>
        <w:tc>
          <w:tcPr>
            <w:tcW w:w="2796" w:type="dxa"/>
            <w:tcBorders>
              <w:top w:val="single" w:color="auto" w:sz="4" w:space="0"/>
              <w:bottom w:val="single" w:color="auto" w:sz="4" w:space="0"/>
            </w:tcBorders>
            <w:vAlign w:val="center"/>
          </w:tcPr>
          <w:p>
            <w:pPr>
              <w:pStyle w:val="36"/>
              <w:spacing w:line="360" w:lineRule="auto"/>
              <w:ind w:left="96"/>
              <w:jc w:val="center"/>
              <w:rPr>
                <w:lang w:val="zh-CN"/>
              </w:rPr>
            </w:pPr>
            <w:r>
              <w:rPr>
                <w:rFonts w:hint="eastAsia"/>
                <w:kern w:val="2"/>
              </w:rPr>
              <w:t>比选文件咨询</w:t>
            </w:r>
          </w:p>
        </w:tc>
        <w:tc>
          <w:tcPr>
            <w:tcW w:w="6553" w:type="dxa"/>
            <w:tcBorders>
              <w:top w:val="single" w:color="auto" w:sz="4" w:space="0"/>
              <w:bottom w:val="single" w:color="auto" w:sz="4" w:space="0"/>
            </w:tcBorders>
            <w:vAlign w:val="center"/>
          </w:tcPr>
          <w:p>
            <w:pPr>
              <w:pStyle w:val="36"/>
              <w:spacing w:line="360" w:lineRule="auto"/>
              <w:ind w:firstLine="240" w:firstLineChars="100"/>
              <w:jc w:val="both"/>
            </w:pPr>
            <w:r>
              <w:rPr>
                <w:rFonts w:hint="eastAsia"/>
              </w:rPr>
              <w:t>联系人：</w:t>
            </w:r>
            <w:r>
              <w:rPr>
                <w:rFonts w:hint="eastAsia"/>
                <w:bCs/>
              </w:rPr>
              <w:t>魏老师</w:t>
            </w:r>
            <w:r>
              <w:rPr>
                <w:rFonts w:hint="eastAsia"/>
              </w:rPr>
              <w:t xml:space="preserve">    联系电话：13882219136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6" w:hRule="atLeast"/>
        </w:trPr>
        <w:tc>
          <w:tcPr>
            <w:tcW w:w="560" w:type="dxa"/>
            <w:tcBorders>
              <w:top w:val="single" w:color="auto" w:sz="4" w:space="0"/>
              <w:bottom w:val="single" w:color="auto" w:sz="4" w:space="0"/>
            </w:tcBorders>
            <w:vAlign w:val="center"/>
          </w:tcPr>
          <w:p>
            <w:pPr>
              <w:pStyle w:val="36"/>
              <w:spacing w:line="360" w:lineRule="auto"/>
              <w:jc w:val="center"/>
              <w:rPr>
                <w:kern w:val="2"/>
              </w:rPr>
            </w:pPr>
            <w:r>
              <w:rPr>
                <w:rFonts w:hint="eastAsia"/>
                <w:kern w:val="2"/>
              </w:rPr>
              <w:t>9</w:t>
            </w:r>
          </w:p>
        </w:tc>
        <w:tc>
          <w:tcPr>
            <w:tcW w:w="2796" w:type="dxa"/>
            <w:tcBorders>
              <w:top w:val="single" w:color="auto" w:sz="4" w:space="0"/>
              <w:bottom w:val="single" w:color="auto" w:sz="4" w:space="0"/>
            </w:tcBorders>
            <w:vAlign w:val="center"/>
          </w:tcPr>
          <w:p>
            <w:pPr>
              <w:pStyle w:val="36"/>
              <w:spacing w:line="360" w:lineRule="auto"/>
              <w:jc w:val="center"/>
              <w:rPr>
                <w:kern w:val="2"/>
              </w:rPr>
            </w:pPr>
            <w:r>
              <w:rPr>
                <w:rFonts w:hint="eastAsia"/>
                <w:kern w:val="2"/>
              </w:rPr>
              <w:t>开标、评审工作咨询</w:t>
            </w:r>
          </w:p>
        </w:tc>
        <w:tc>
          <w:tcPr>
            <w:tcW w:w="6553" w:type="dxa"/>
            <w:tcBorders>
              <w:top w:val="single" w:color="auto" w:sz="4" w:space="0"/>
              <w:bottom w:val="single" w:color="auto" w:sz="4" w:space="0"/>
            </w:tcBorders>
            <w:vAlign w:val="center"/>
          </w:tcPr>
          <w:p>
            <w:pPr>
              <w:spacing w:line="360" w:lineRule="auto"/>
              <w:ind w:right="99" w:rightChars="47" w:firstLine="367" w:firstLineChars="175"/>
              <w:rPr>
                <w:rFonts w:ascii="宋体" w:hAnsi="宋体" w:cs="宋体"/>
                <w:sz w:val="24"/>
              </w:rPr>
            </w:pPr>
            <w:r>
              <w:rPr>
                <w:rFonts w:hint="eastAsia"/>
              </w:rPr>
              <w:t>联系人：</w:t>
            </w:r>
            <w:r>
              <w:rPr>
                <w:rFonts w:hint="eastAsia" w:ascii="宋体" w:hAnsi="宋体" w:cs="宋体"/>
                <w:bCs/>
                <w:sz w:val="24"/>
              </w:rPr>
              <w:t>魏老师</w:t>
            </w:r>
            <w:r>
              <w:rPr>
                <w:rFonts w:hint="eastAsia"/>
              </w:rPr>
              <w:t xml:space="preserve">    联系电话：13882219136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4" w:hRule="atLeast"/>
        </w:trPr>
        <w:tc>
          <w:tcPr>
            <w:tcW w:w="560" w:type="dxa"/>
            <w:tcBorders>
              <w:top w:val="single" w:color="auto" w:sz="4" w:space="0"/>
            </w:tcBorders>
            <w:vAlign w:val="center"/>
          </w:tcPr>
          <w:p>
            <w:pPr>
              <w:pStyle w:val="36"/>
              <w:spacing w:line="360" w:lineRule="auto"/>
              <w:jc w:val="center"/>
              <w:rPr>
                <w:kern w:val="2"/>
              </w:rPr>
            </w:pPr>
            <w:r>
              <w:rPr>
                <w:rFonts w:hint="eastAsia"/>
                <w:kern w:val="2"/>
              </w:rPr>
              <w:t>10</w:t>
            </w:r>
          </w:p>
        </w:tc>
        <w:tc>
          <w:tcPr>
            <w:tcW w:w="2796" w:type="dxa"/>
            <w:tcBorders>
              <w:top w:val="single" w:color="auto" w:sz="4" w:space="0"/>
            </w:tcBorders>
            <w:vAlign w:val="center"/>
          </w:tcPr>
          <w:p>
            <w:pPr>
              <w:pStyle w:val="36"/>
              <w:spacing w:line="360" w:lineRule="auto"/>
              <w:jc w:val="center"/>
              <w:rPr>
                <w:kern w:val="2"/>
              </w:rPr>
            </w:pPr>
            <w:r>
              <w:rPr>
                <w:rFonts w:hint="eastAsia"/>
              </w:rPr>
              <w:t>中选通知书领取</w:t>
            </w:r>
          </w:p>
        </w:tc>
        <w:tc>
          <w:tcPr>
            <w:tcW w:w="6553" w:type="dxa"/>
            <w:tcBorders>
              <w:top w:val="single" w:color="auto" w:sz="4" w:space="0"/>
            </w:tcBorders>
            <w:vAlign w:val="center"/>
          </w:tcPr>
          <w:p>
            <w:pPr>
              <w:tabs>
                <w:tab w:val="left" w:pos="7665"/>
              </w:tabs>
              <w:spacing w:line="360" w:lineRule="auto"/>
              <w:ind w:right="99" w:rightChars="47" w:firstLine="480" w:firstLineChars="200"/>
              <w:rPr>
                <w:rFonts w:ascii="宋体" w:hAnsi="宋体" w:cs="宋体"/>
                <w:sz w:val="24"/>
              </w:rPr>
            </w:pPr>
            <w:r>
              <w:rPr>
                <w:rFonts w:hint="eastAsia" w:ascii="宋体" w:hAnsi="宋体" w:cs="宋体"/>
                <w:sz w:val="24"/>
              </w:rPr>
              <w:t>中选公告在原公告栏上公告后，请中选比选申请人凭有效身份证明证件在成都汽车职业技术学校领取中选通知书。</w:t>
            </w:r>
          </w:p>
          <w:p>
            <w:pPr>
              <w:spacing w:line="360" w:lineRule="auto"/>
              <w:ind w:right="99" w:rightChars="47" w:firstLine="480" w:firstLineChars="200"/>
              <w:rPr>
                <w:rFonts w:ascii="宋体" w:hAnsi="宋体" w:cs="宋体"/>
                <w:sz w:val="24"/>
                <w:lang w:val="zh-CN"/>
              </w:rPr>
            </w:pPr>
            <w:r>
              <w:rPr>
                <w:rFonts w:hint="eastAsia" w:ascii="宋体" w:hAnsi="宋体" w:cs="宋体"/>
                <w:sz w:val="24"/>
                <w:lang w:val="zh-CN"/>
              </w:rPr>
              <w:t>联系人：</w:t>
            </w:r>
            <w:r>
              <w:rPr>
                <w:rFonts w:hint="eastAsia" w:ascii="宋体" w:hAnsi="宋体" w:cs="宋体"/>
                <w:sz w:val="24"/>
              </w:rPr>
              <w:t>魏老师</w:t>
            </w:r>
            <w:r>
              <w:rPr>
                <w:rFonts w:hint="eastAsia" w:ascii="宋体" w:hAnsi="宋体" w:cs="宋体"/>
                <w:sz w:val="24"/>
                <w:lang w:val="zh-CN"/>
              </w:rPr>
              <w:t xml:space="preserve">      </w:t>
            </w:r>
          </w:p>
          <w:p>
            <w:pPr>
              <w:spacing w:line="360" w:lineRule="auto"/>
              <w:ind w:right="99" w:rightChars="47" w:firstLine="480" w:firstLineChars="200"/>
              <w:rPr>
                <w:rFonts w:ascii="宋体" w:hAnsi="宋体" w:cs="宋体"/>
                <w:sz w:val="24"/>
              </w:rPr>
            </w:pPr>
            <w:r>
              <w:rPr>
                <w:rFonts w:hint="eastAsia" w:ascii="宋体" w:hAnsi="宋体" w:cs="宋体"/>
                <w:sz w:val="24"/>
                <w:lang w:val="zh-CN"/>
              </w:rPr>
              <w:t>联系电话：</w:t>
            </w:r>
            <w:r>
              <w:rPr>
                <w:rFonts w:hint="eastAsia" w:ascii="宋体" w:hAnsi="宋体" w:cs="宋体"/>
                <w:sz w:val="24"/>
              </w:rPr>
              <w:t>028 6838 9129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4" w:hRule="atLeast"/>
        </w:trPr>
        <w:tc>
          <w:tcPr>
            <w:tcW w:w="560" w:type="dxa"/>
            <w:tcBorders>
              <w:top w:val="single" w:color="auto" w:sz="4" w:space="0"/>
            </w:tcBorders>
            <w:vAlign w:val="center"/>
          </w:tcPr>
          <w:p>
            <w:pPr>
              <w:pStyle w:val="36"/>
              <w:spacing w:line="360" w:lineRule="auto"/>
              <w:jc w:val="center"/>
              <w:rPr>
                <w:kern w:val="2"/>
              </w:rPr>
            </w:pPr>
            <w:r>
              <w:rPr>
                <w:rFonts w:hint="eastAsia"/>
                <w:kern w:val="2"/>
              </w:rPr>
              <w:t>11</w:t>
            </w:r>
          </w:p>
        </w:tc>
        <w:tc>
          <w:tcPr>
            <w:tcW w:w="2796" w:type="dxa"/>
            <w:tcBorders>
              <w:top w:val="single" w:color="auto" w:sz="4" w:space="0"/>
            </w:tcBorders>
            <w:vAlign w:val="center"/>
          </w:tcPr>
          <w:p>
            <w:pPr>
              <w:spacing w:line="360" w:lineRule="auto"/>
              <w:ind w:left="105" w:leftChars="50" w:right="105" w:rightChars="50"/>
              <w:jc w:val="center"/>
              <w:rPr>
                <w:rFonts w:ascii="宋体" w:hAnsi="宋体" w:cs="宋体"/>
                <w:sz w:val="24"/>
              </w:rPr>
            </w:pPr>
            <w:r>
              <w:rPr>
                <w:rFonts w:hint="eastAsia" w:ascii="宋体" w:hAnsi="宋体" w:cs="宋体"/>
                <w:sz w:val="24"/>
                <w:lang w:val="zh-CN"/>
              </w:rPr>
              <w:t>比选申请人询问、质疑</w:t>
            </w:r>
          </w:p>
        </w:tc>
        <w:tc>
          <w:tcPr>
            <w:tcW w:w="6553" w:type="dxa"/>
            <w:tcBorders>
              <w:top w:val="single" w:color="auto" w:sz="4" w:space="0"/>
            </w:tcBorders>
            <w:vAlign w:val="center"/>
          </w:tcPr>
          <w:p>
            <w:pPr>
              <w:tabs>
                <w:tab w:val="left" w:pos="7665"/>
              </w:tabs>
              <w:spacing w:line="360" w:lineRule="auto"/>
              <w:ind w:right="99" w:rightChars="47" w:firstLine="480" w:firstLineChars="200"/>
              <w:rPr>
                <w:rFonts w:ascii="宋体" w:hAnsi="宋体" w:cs="宋体"/>
                <w:sz w:val="24"/>
                <w:lang w:val="zh-CN"/>
              </w:rPr>
            </w:pPr>
            <w:r>
              <w:rPr>
                <w:rFonts w:hint="eastAsia" w:ascii="宋体" w:hAnsi="宋体" w:cs="宋体"/>
                <w:sz w:val="24"/>
                <w:lang w:val="zh-CN"/>
              </w:rPr>
              <w:t>对于比选文件、比选过程、比选结果由比选人和采购代理机构共同负责答复。</w:t>
            </w:r>
          </w:p>
          <w:p>
            <w:pPr>
              <w:tabs>
                <w:tab w:val="left" w:pos="7665"/>
              </w:tabs>
              <w:spacing w:line="360" w:lineRule="auto"/>
              <w:ind w:right="99" w:rightChars="47"/>
              <w:rPr>
                <w:rFonts w:ascii="宋体" w:hAnsi="宋体" w:cs="宋体"/>
                <w:sz w:val="24"/>
                <w:lang w:val="zh-CN"/>
              </w:rPr>
            </w:pPr>
            <w:r>
              <w:rPr>
                <w:rFonts w:hint="eastAsia" w:ascii="宋体" w:hAnsi="宋体" w:cs="宋体"/>
                <w:sz w:val="24"/>
                <w:lang w:val="zh-CN"/>
              </w:rPr>
              <w:t>比选人：成都汽车职业技术学校</w:t>
            </w:r>
          </w:p>
          <w:p>
            <w:pPr>
              <w:tabs>
                <w:tab w:val="left" w:pos="7665"/>
              </w:tabs>
              <w:spacing w:line="360" w:lineRule="auto"/>
              <w:ind w:right="99" w:rightChars="47"/>
              <w:rPr>
                <w:rFonts w:ascii="宋体" w:hAnsi="宋体" w:cs="宋体"/>
                <w:sz w:val="24"/>
              </w:rPr>
            </w:pPr>
            <w:r>
              <w:rPr>
                <w:rFonts w:hint="eastAsia" w:ascii="宋体" w:hAnsi="宋体" w:cs="宋体"/>
                <w:sz w:val="24"/>
                <w:lang w:val="zh-CN"/>
              </w:rPr>
              <w:t>地  址：</w:t>
            </w:r>
            <w:r>
              <w:rPr>
                <w:rFonts w:hint="eastAsia" w:ascii="宋体" w:hAnsi="宋体" w:cs="宋体"/>
                <w:bCs/>
                <w:sz w:val="24"/>
                <w:shd w:val="clear" w:color="auto" w:fill="FFFFFF"/>
              </w:rPr>
              <w:t>成都市龙泉驿区同安街道幸福大道388号</w:t>
            </w:r>
          </w:p>
          <w:p>
            <w:pPr>
              <w:tabs>
                <w:tab w:val="left" w:pos="7665"/>
              </w:tabs>
              <w:spacing w:line="360" w:lineRule="auto"/>
              <w:ind w:right="99" w:rightChars="47"/>
              <w:rPr>
                <w:rFonts w:ascii="宋体" w:hAnsi="宋体" w:cs="宋体"/>
                <w:sz w:val="24"/>
              </w:rPr>
            </w:pPr>
            <w:r>
              <w:rPr>
                <w:rFonts w:hint="eastAsia" w:ascii="宋体" w:hAnsi="宋体" w:cs="宋体"/>
                <w:sz w:val="24"/>
                <w:lang w:val="zh-CN"/>
              </w:rPr>
              <w:t>联系人：魏</w:t>
            </w:r>
            <w:r>
              <w:rPr>
                <w:rFonts w:hint="eastAsia" w:ascii="宋体" w:hAnsi="宋体" w:cs="宋体"/>
                <w:sz w:val="24"/>
              </w:rPr>
              <w:t>老师</w:t>
            </w:r>
          </w:p>
          <w:p>
            <w:pPr>
              <w:tabs>
                <w:tab w:val="left" w:pos="7665"/>
              </w:tabs>
              <w:spacing w:line="360" w:lineRule="auto"/>
              <w:ind w:right="99" w:rightChars="47"/>
              <w:rPr>
                <w:rFonts w:ascii="宋体" w:hAnsi="宋体" w:cs="宋体"/>
                <w:sz w:val="24"/>
                <w:lang w:val="zh-CN"/>
              </w:rPr>
            </w:pPr>
            <w:r>
              <w:rPr>
                <w:rFonts w:hint="eastAsia" w:ascii="宋体" w:hAnsi="宋体" w:cs="宋体"/>
                <w:sz w:val="24"/>
                <w:lang w:val="zh-CN"/>
              </w:rPr>
              <w:t>电  话：028-84851799</w:t>
            </w:r>
          </w:p>
          <w:p>
            <w:pPr>
              <w:spacing w:line="360" w:lineRule="auto"/>
              <w:ind w:right="99" w:rightChars="47"/>
              <w:rPr>
                <w:rFonts w:ascii="宋体" w:hAnsi="宋体" w:cs="宋体"/>
                <w:sz w:val="24"/>
              </w:rPr>
            </w:pPr>
            <w:r>
              <w:rPr>
                <w:rFonts w:hint="eastAsia" w:ascii="宋体" w:hAnsi="宋体" w:cs="宋体"/>
                <w:sz w:val="24"/>
                <w:lang w:val="zh-CN"/>
              </w:rPr>
              <w:t>注：</w:t>
            </w:r>
            <w:r>
              <w:rPr>
                <w:rFonts w:hint="eastAsia" w:ascii="宋体" w:hAnsi="宋体" w:cs="宋体"/>
                <w:sz w:val="24"/>
              </w:rPr>
              <w:t>参照</w:t>
            </w:r>
            <w:r>
              <w:rPr>
                <w:rFonts w:hint="eastAsia" w:ascii="宋体" w:hAnsi="宋体" w:cs="宋体"/>
                <w:sz w:val="24"/>
                <w:lang w:val="zh-CN"/>
              </w:rPr>
              <w:t>《中华人民共和国政府采购法》等规定，比选申请人询问、质疑不得超出比选文件、比选过程、比选结果的范围。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trPr>
        <w:tc>
          <w:tcPr>
            <w:tcW w:w="560" w:type="dxa"/>
            <w:vAlign w:val="center"/>
          </w:tcPr>
          <w:p>
            <w:pPr>
              <w:pStyle w:val="36"/>
              <w:spacing w:line="360" w:lineRule="auto"/>
              <w:jc w:val="center"/>
            </w:pPr>
            <w:r>
              <w:rPr>
                <w:rFonts w:hint="eastAsia"/>
              </w:rPr>
              <w:t>12</w:t>
            </w:r>
          </w:p>
        </w:tc>
        <w:tc>
          <w:tcPr>
            <w:tcW w:w="2796" w:type="dxa"/>
            <w:tcBorders>
              <w:right w:val="single" w:color="auto" w:sz="4" w:space="0"/>
            </w:tcBorders>
            <w:vAlign w:val="center"/>
          </w:tcPr>
          <w:p>
            <w:pPr>
              <w:pStyle w:val="36"/>
              <w:spacing w:line="360" w:lineRule="auto"/>
              <w:ind w:firstLine="240" w:firstLineChars="100"/>
              <w:jc w:val="center"/>
            </w:pPr>
            <w:r>
              <w:rPr>
                <w:rFonts w:hint="eastAsia"/>
              </w:rPr>
              <w:t>严禁转包和违法分包</w:t>
            </w:r>
          </w:p>
          <w:p>
            <w:pPr>
              <w:pStyle w:val="36"/>
              <w:spacing w:line="360" w:lineRule="auto"/>
              <w:ind w:firstLine="240" w:firstLineChars="100"/>
              <w:jc w:val="center"/>
            </w:pPr>
            <w:r>
              <w:rPr>
                <w:rFonts w:hint="eastAsia"/>
              </w:rPr>
              <w:t>（实质性要求）</w:t>
            </w:r>
          </w:p>
        </w:tc>
        <w:tc>
          <w:tcPr>
            <w:tcW w:w="6553" w:type="dxa"/>
            <w:tcBorders>
              <w:left w:val="single" w:color="auto" w:sz="4" w:space="0"/>
            </w:tcBorders>
            <w:vAlign w:val="center"/>
          </w:tcPr>
          <w:p>
            <w:pPr>
              <w:pStyle w:val="36"/>
              <w:spacing w:line="360" w:lineRule="auto"/>
              <w:ind w:firstLine="480" w:firstLineChars="200"/>
            </w:pPr>
            <w:r>
              <w:rPr>
                <w:rFonts w:hint="eastAsia"/>
              </w:rPr>
              <w:t>严禁转包和违法分包。凡比选文件未明确可以分包的，中选比选申请人不得进行任何形式的分包。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trPr>
        <w:tc>
          <w:tcPr>
            <w:tcW w:w="560" w:type="dxa"/>
            <w:vAlign w:val="center"/>
          </w:tcPr>
          <w:p>
            <w:pPr>
              <w:pStyle w:val="36"/>
              <w:spacing w:line="360" w:lineRule="auto"/>
              <w:jc w:val="center"/>
              <w:rPr>
                <w:kern w:val="2"/>
              </w:rPr>
            </w:pPr>
            <w:r>
              <w:rPr>
                <w:rFonts w:hint="eastAsia"/>
              </w:rPr>
              <w:t>13</w:t>
            </w:r>
          </w:p>
        </w:tc>
        <w:tc>
          <w:tcPr>
            <w:tcW w:w="2796" w:type="dxa"/>
            <w:tcBorders>
              <w:right w:val="single" w:color="auto" w:sz="4" w:space="0"/>
            </w:tcBorders>
            <w:vAlign w:val="center"/>
          </w:tcPr>
          <w:p>
            <w:pPr>
              <w:pStyle w:val="36"/>
              <w:spacing w:line="360" w:lineRule="auto"/>
              <w:ind w:firstLine="240" w:firstLineChars="100"/>
              <w:jc w:val="center"/>
            </w:pPr>
            <w:r>
              <w:rPr>
                <w:rFonts w:hint="eastAsia"/>
              </w:rPr>
              <w:t>备注</w:t>
            </w:r>
          </w:p>
        </w:tc>
        <w:tc>
          <w:tcPr>
            <w:tcW w:w="6553" w:type="dxa"/>
            <w:tcBorders>
              <w:left w:val="single" w:color="auto" w:sz="4" w:space="0"/>
            </w:tcBorders>
            <w:vAlign w:val="center"/>
          </w:tcPr>
          <w:p>
            <w:pPr>
              <w:pStyle w:val="36"/>
              <w:spacing w:line="360" w:lineRule="auto"/>
              <w:ind w:firstLine="480" w:firstLineChars="200"/>
              <w:rPr>
                <w:lang w:val="zh-CN"/>
              </w:rPr>
            </w:pPr>
            <w:r>
              <w:rPr>
                <w:rFonts w:hint="eastAsia"/>
              </w:rPr>
              <w:t>若比选文件中其他与比选申请人须知表内容不一致的，以比选申请人须知表为准。</w:t>
            </w:r>
          </w:p>
        </w:tc>
      </w:tr>
    </w:tbl>
    <w:p>
      <w:pPr>
        <w:numPr>
          <w:ilvl w:val="0"/>
          <w:numId w:val="3"/>
        </w:numPr>
        <w:jc w:val="left"/>
        <w:rPr>
          <w:rFonts w:ascii="宋体" w:hAnsi="宋体" w:cs="宋体"/>
          <w:b/>
          <w:bCs/>
          <w:sz w:val="32"/>
          <w:szCs w:val="32"/>
        </w:rPr>
      </w:pPr>
      <w:r>
        <w:rPr>
          <w:rFonts w:hint="eastAsia" w:ascii="宋体" w:hAnsi="宋体" w:cs="宋体"/>
          <w:b/>
          <w:bCs/>
          <w:sz w:val="32"/>
          <w:szCs w:val="32"/>
        </w:rPr>
        <w:t>比选项目服务内容、服务要求</w:t>
      </w:r>
    </w:p>
    <w:p>
      <w:pPr>
        <w:spacing w:line="360" w:lineRule="auto"/>
        <w:rPr>
          <w:rFonts w:ascii="宋体" w:hAnsi="宋体" w:cs="宋体"/>
          <w:b/>
          <w:sz w:val="28"/>
          <w:szCs w:val="28"/>
        </w:rPr>
      </w:pPr>
      <w:r>
        <w:rPr>
          <w:rFonts w:hint="eastAsia" w:ascii="宋体" w:hAnsi="宋体" w:cs="宋体"/>
          <w:b/>
          <w:sz w:val="28"/>
          <w:szCs w:val="28"/>
        </w:rPr>
        <w:t>一、项目概述：</w:t>
      </w:r>
    </w:p>
    <w:p>
      <w:pPr>
        <w:spacing w:line="360" w:lineRule="auto"/>
        <w:ind w:firstLine="480" w:firstLineChars="200"/>
        <w:rPr>
          <w:rFonts w:ascii="宋体" w:hAnsi="宋体" w:cs="宋体"/>
          <w:sz w:val="24"/>
        </w:rPr>
      </w:pPr>
      <w:r>
        <w:rPr>
          <w:rFonts w:hint="eastAsia" w:ascii="宋体" w:hAnsi="宋体" w:cs="宋体"/>
          <w:sz w:val="24"/>
        </w:rPr>
        <w:t>1、比选人名称：成都汽车职业技术学校</w:t>
      </w:r>
    </w:p>
    <w:p>
      <w:pPr>
        <w:spacing w:line="360" w:lineRule="auto"/>
        <w:ind w:firstLine="480" w:firstLineChars="200"/>
        <w:rPr>
          <w:rFonts w:ascii="宋体" w:hAnsi="宋体" w:cs="宋体"/>
          <w:sz w:val="24"/>
        </w:rPr>
      </w:pPr>
      <w:r>
        <w:rPr>
          <w:rFonts w:hint="eastAsia" w:ascii="宋体" w:hAnsi="宋体" w:cs="宋体"/>
          <w:sz w:val="24"/>
        </w:rPr>
        <w:t>2、项目名称：成都汽车职业技术学校2024年教职工春游项目</w:t>
      </w:r>
    </w:p>
    <w:p>
      <w:pPr>
        <w:spacing w:line="360" w:lineRule="auto"/>
        <w:ind w:firstLine="480" w:firstLineChars="200"/>
        <w:rPr>
          <w:rFonts w:ascii="宋体" w:hAnsi="宋体" w:cs="宋体"/>
          <w:sz w:val="24"/>
        </w:rPr>
      </w:pPr>
      <w:r>
        <w:rPr>
          <w:rFonts w:hint="eastAsia" w:ascii="宋体" w:hAnsi="宋体" w:cs="宋体"/>
          <w:sz w:val="24"/>
        </w:rPr>
        <w:t>3、项目简介：为成都汽车职业技术学校提供2024年教职工春游服务</w:t>
      </w:r>
    </w:p>
    <w:p>
      <w:pPr>
        <w:spacing w:line="360" w:lineRule="auto"/>
        <w:ind w:firstLine="482" w:firstLineChars="200"/>
        <w:rPr>
          <w:rFonts w:ascii="宋体" w:hAnsi="宋体" w:cs="宋体"/>
          <w:b/>
          <w:bCs/>
          <w:sz w:val="24"/>
        </w:rPr>
      </w:pPr>
      <w:r>
        <w:rPr>
          <w:rFonts w:hint="eastAsia" w:ascii="宋体" w:hAnsi="宋体" w:cs="宋体"/>
          <w:b/>
          <w:bCs/>
          <w:sz w:val="24"/>
        </w:rPr>
        <w:t>4、服务时间：4天</w:t>
      </w:r>
    </w:p>
    <w:p>
      <w:pPr>
        <w:spacing w:line="360" w:lineRule="auto"/>
        <w:ind w:firstLine="482" w:firstLineChars="200"/>
        <w:rPr>
          <w:rFonts w:ascii="宋体" w:hAnsi="宋体" w:cs="宋体"/>
          <w:b/>
          <w:bCs/>
          <w:sz w:val="24"/>
        </w:rPr>
      </w:pPr>
      <w:r>
        <w:rPr>
          <w:rFonts w:hint="eastAsia" w:ascii="宋体" w:hAnsi="宋体" w:cs="宋体"/>
          <w:b/>
          <w:bCs/>
          <w:sz w:val="24"/>
        </w:rPr>
        <w:t>5、合同签订方式：合同签订，其他约定详见合同。</w:t>
      </w:r>
    </w:p>
    <w:p>
      <w:pPr>
        <w:spacing w:line="360" w:lineRule="auto"/>
        <w:rPr>
          <w:rFonts w:ascii="宋体" w:hAnsi="宋体" w:cs="宋体"/>
          <w:b/>
          <w:sz w:val="28"/>
          <w:szCs w:val="28"/>
        </w:rPr>
      </w:pPr>
      <w:r>
        <w:rPr>
          <w:rFonts w:hint="eastAsia" w:ascii="宋体" w:hAnsi="宋体" w:cs="宋体"/>
          <w:b/>
          <w:bCs/>
          <w:sz w:val="24"/>
        </w:rPr>
        <w:t>二</w:t>
      </w:r>
      <w:r>
        <w:rPr>
          <w:rFonts w:hint="eastAsia" w:ascii="宋体" w:hAnsi="宋体" w:cs="宋体"/>
          <w:b/>
          <w:sz w:val="28"/>
          <w:szCs w:val="28"/>
        </w:rPr>
        <w:t>、服务要求</w:t>
      </w:r>
    </w:p>
    <w:p>
      <w:pPr>
        <w:widowControl/>
        <w:spacing w:line="360" w:lineRule="auto"/>
        <w:ind w:firstLine="641" w:firstLineChars="266"/>
        <w:rPr>
          <w:rFonts w:ascii="宋体" w:hAnsi="宋体" w:cs="宋体"/>
          <w:sz w:val="24"/>
        </w:rPr>
      </w:pPr>
      <w:r>
        <w:rPr>
          <w:rFonts w:hint="eastAsia" w:ascii="宋体" w:hAnsi="宋体" w:cs="宋体"/>
          <w:b/>
          <w:bCs/>
          <w:sz w:val="24"/>
        </w:rPr>
        <w:t>（一）总体要求：</w:t>
      </w:r>
      <w:r>
        <w:rPr>
          <w:rFonts w:hint="eastAsia" w:ascii="宋体" w:hAnsi="宋体" w:cs="宋体"/>
          <w:sz w:val="24"/>
        </w:rPr>
        <w:t>为成都汽车职业技术学校提供2024年教职工春游服务</w:t>
      </w:r>
    </w:p>
    <w:p>
      <w:pPr>
        <w:widowControl/>
        <w:spacing w:line="360" w:lineRule="auto"/>
        <w:ind w:firstLine="641" w:firstLineChars="266"/>
        <w:rPr>
          <w:rFonts w:ascii="宋体" w:hAnsi="宋体" w:cs="宋体"/>
          <w:b/>
          <w:bCs/>
          <w:sz w:val="24"/>
        </w:rPr>
      </w:pPr>
      <w:r>
        <w:rPr>
          <w:rFonts w:hint="eastAsia" w:ascii="宋体" w:hAnsi="宋体" w:cs="宋体"/>
          <w:b/>
          <w:bCs/>
          <w:sz w:val="24"/>
        </w:rPr>
        <w:t>（二）服务内容及执行标准：</w:t>
      </w:r>
    </w:p>
    <w:p>
      <w:pPr>
        <w:widowControl/>
        <w:spacing w:line="360" w:lineRule="auto"/>
        <w:ind w:firstLine="641" w:firstLineChars="266"/>
        <w:rPr>
          <w:rFonts w:ascii="宋体" w:hAnsi="宋体" w:cs="宋体"/>
          <w:b/>
          <w:bCs/>
          <w:sz w:val="24"/>
        </w:rPr>
      </w:pPr>
      <w:r>
        <w:rPr>
          <w:rFonts w:hint="eastAsia" w:ascii="宋体" w:hAnsi="宋体" w:cs="宋体"/>
          <w:b/>
          <w:bCs/>
          <w:sz w:val="24"/>
        </w:rPr>
        <w:t>一、旅行社资质要求</w:t>
      </w:r>
    </w:p>
    <w:p>
      <w:pPr>
        <w:widowControl/>
        <w:spacing w:line="360" w:lineRule="auto"/>
        <w:ind w:firstLine="638" w:firstLineChars="266"/>
        <w:rPr>
          <w:rFonts w:ascii="宋体" w:hAnsi="宋体" w:cs="宋体"/>
          <w:sz w:val="24"/>
        </w:rPr>
      </w:pPr>
      <w:r>
        <w:rPr>
          <w:rFonts w:hint="eastAsia" w:ascii="宋体" w:hAnsi="宋体" w:cs="宋体"/>
          <w:sz w:val="24"/>
        </w:rPr>
        <w:t>1. 投标旅行社必须是在中华人民共和国境内合法注册并具备独立法人资格的企业。</w:t>
      </w:r>
    </w:p>
    <w:p>
      <w:pPr>
        <w:widowControl/>
        <w:spacing w:line="360" w:lineRule="auto"/>
        <w:ind w:firstLine="638" w:firstLineChars="266"/>
        <w:rPr>
          <w:rFonts w:ascii="宋体" w:hAnsi="宋体" w:cs="宋体"/>
          <w:sz w:val="24"/>
        </w:rPr>
      </w:pPr>
      <w:r>
        <w:rPr>
          <w:rFonts w:hint="eastAsia" w:ascii="宋体" w:hAnsi="宋体" w:cs="宋体"/>
          <w:sz w:val="24"/>
        </w:rPr>
        <w:t>2. 投标旅行社应持有国家旅游局颁发的《旅行社业务经营许可证》，并具备相应的经营范围和资质等级。</w:t>
      </w:r>
    </w:p>
    <w:p>
      <w:pPr>
        <w:widowControl/>
        <w:spacing w:line="360" w:lineRule="auto"/>
        <w:ind w:firstLine="638" w:firstLineChars="266"/>
        <w:rPr>
          <w:rFonts w:ascii="宋体" w:hAnsi="宋体" w:cs="宋体"/>
          <w:sz w:val="24"/>
        </w:rPr>
      </w:pPr>
      <w:r>
        <w:rPr>
          <w:rFonts w:hint="eastAsia" w:ascii="宋体" w:hAnsi="宋体" w:cs="宋体"/>
          <w:sz w:val="24"/>
        </w:rPr>
        <w:t>3. 投标旅行社近三年内在同行业内应具有良好的业绩和声誉，无重大违法违规记录。</w:t>
      </w:r>
    </w:p>
    <w:p>
      <w:pPr>
        <w:widowControl/>
        <w:spacing w:line="360" w:lineRule="auto"/>
        <w:ind w:firstLine="641" w:firstLineChars="266"/>
        <w:rPr>
          <w:rFonts w:ascii="宋体" w:hAnsi="宋体" w:cs="宋体"/>
          <w:b/>
          <w:bCs/>
          <w:sz w:val="24"/>
        </w:rPr>
      </w:pPr>
      <w:r>
        <w:rPr>
          <w:rFonts w:hint="eastAsia" w:ascii="宋体" w:hAnsi="宋体" w:cs="宋体"/>
          <w:b/>
          <w:bCs/>
          <w:sz w:val="24"/>
        </w:rPr>
        <w:t>二、服务内容与标准</w:t>
      </w:r>
    </w:p>
    <w:p>
      <w:pPr>
        <w:widowControl/>
        <w:spacing w:line="360" w:lineRule="auto"/>
        <w:ind w:firstLine="638" w:firstLineChars="266"/>
        <w:rPr>
          <w:rFonts w:ascii="宋体" w:hAnsi="宋体" w:cs="宋体"/>
          <w:sz w:val="24"/>
        </w:rPr>
      </w:pPr>
      <w:r>
        <w:rPr>
          <w:rFonts w:hint="eastAsia" w:ascii="宋体" w:hAnsi="宋体" w:cs="宋体"/>
          <w:sz w:val="24"/>
        </w:rPr>
        <w:t>1. 投标旅行社应明确提供的旅游服务内容，包括但不限于导游服务、交通安排、餐饮安排、景点门票购买等。</w:t>
      </w:r>
    </w:p>
    <w:p>
      <w:pPr>
        <w:widowControl/>
        <w:spacing w:line="360" w:lineRule="auto"/>
        <w:ind w:firstLine="638" w:firstLineChars="266"/>
        <w:rPr>
          <w:rFonts w:ascii="宋体" w:hAnsi="宋体" w:cs="宋体"/>
          <w:sz w:val="24"/>
        </w:rPr>
      </w:pPr>
      <w:r>
        <w:rPr>
          <w:rFonts w:hint="eastAsia" w:ascii="宋体" w:hAnsi="宋体" w:cs="宋体"/>
          <w:sz w:val="24"/>
        </w:rPr>
        <w:t>2.旅行范围在四川省内，至少提供四条线路供选择，</w:t>
      </w:r>
      <w:r>
        <w:rPr>
          <w:rFonts w:ascii="宋体" w:hAnsi="宋体" w:cs="宋体"/>
          <w:sz w:val="24"/>
        </w:rPr>
        <w:t>一条线路至少包含两个旅游景点</w:t>
      </w:r>
      <w:r>
        <w:rPr>
          <w:rFonts w:hint="eastAsia" w:ascii="宋体" w:hAnsi="宋体" w:cs="宋体"/>
          <w:sz w:val="24"/>
        </w:rPr>
        <w:t>；餐饮午餐不得低于每人60元，晚餐不得低于每人30元，交通方面提供大巴车接送。</w:t>
      </w:r>
    </w:p>
    <w:p>
      <w:pPr>
        <w:widowControl/>
        <w:spacing w:line="360" w:lineRule="auto"/>
        <w:ind w:firstLine="638" w:firstLineChars="266"/>
        <w:rPr>
          <w:rFonts w:ascii="宋体" w:hAnsi="宋体" w:cs="宋体"/>
          <w:sz w:val="24"/>
        </w:rPr>
      </w:pPr>
      <w:r>
        <w:rPr>
          <w:rFonts w:hint="eastAsia" w:ascii="宋体" w:hAnsi="宋体" w:cs="宋体"/>
          <w:sz w:val="24"/>
        </w:rPr>
        <w:t>3. 服务标准应符合国家及地方相关旅游服务标准，确保游客的旅游体验。</w:t>
      </w:r>
    </w:p>
    <w:p>
      <w:pPr>
        <w:widowControl/>
        <w:spacing w:line="360" w:lineRule="auto"/>
        <w:ind w:firstLine="641" w:firstLineChars="266"/>
        <w:rPr>
          <w:rFonts w:ascii="宋体" w:hAnsi="宋体" w:cs="宋体"/>
          <w:b/>
          <w:bCs/>
          <w:sz w:val="24"/>
        </w:rPr>
      </w:pPr>
      <w:r>
        <w:rPr>
          <w:rFonts w:hint="eastAsia" w:ascii="宋体" w:hAnsi="宋体" w:cs="宋体"/>
          <w:b/>
          <w:bCs/>
          <w:sz w:val="24"/>
        </w:rPr>
        <w:t>三、行程安排与特色</w:t>
      </w:r>
    </w:p>
    <w:p>
      <w:pPr>
        <w:widowControl/>
        <w:spacing w:line="360" w:lineRule="auto"/>
        <w:ind w:firstLine="638" w:firstLineChars="266"/>
        <w:rPr>
          <w:rFonts w:ascii="宋体" w:hAnsi="宋体" w:cs="宋体"/>
          <w:sz w:val="24"/>
        </w:rPr>
      </w:pPr>
      <w:r>
        <w:rPr>
          <w:rFonts w:hint="eastAsia" w:ascii="宋体" w:hAnsi="宋体" w:cs="宋体"/>
          <w:sz w:val="24"/>
        </w:rPr>
        <w:t>1. 投标旅行社应提供详细的行程安排，包括日程表、景点介绍、特色活动等。行程日期为3月30日、31日，4月13日、14日，这四天的行程安排需提供不同的线路，且一天往返，不含住宿。</w:t>
      </w:r>
    </w:p>
    <w:p>
      <w:pPr>
        <w:widowControl/>
        <w:spacing w:line="360" w:lineRule="auto"/>
        <w:ind w:firstLine="638" w:firstLineChars="266"/>
        <w:rPr>
          <w:rFonts w:ascii="宋体" w:hAnsi="宋体" w:cs="宋体"/>
          <w:sz w:val="24"/>
        </w:rPr>
      </w:pPr>
      <w:r>
        <w:rPr>
          <w:rFonts w:hint="eastAsia" w:ascii="宋体" w:hAnsi="宋体" w:cs="宋体"/>
          <w:sz w:val="24"/>
        </w:rPr>
        <w:t>2. 行程应具有独特性和吸引力，满足不同游客的需求和喜好。</w:t>
      </w:r>
    </w:p>
    <w:p>
      <w:pPr>
        <w:widowControl/>
        <w:spacing w:line="360" w:lineRule="auto"/>
        <w:ind w:firstLine="641" w:firstLineChars="266"/>
        <w:rPr>
          <w:rFonts w:ascii="宋体" w:hAnsi="宋体" w:cs="宋体"/>
          <w:b/>
          <w:bCs/>
          <w:sz w:val="24"/>
        </w:rPr>
      </w:pPr>
      <w:r>
        <w:rPr>
          <w:rFonts w:hint="eastAsia" w:ascii="宋体" w:hAnsi="宋体" w:cs="宋体"/>
          <w:b/>
          <w:bCs/>
          <w:sz w:val="24"/>
        </w:rPr>
        <w:t>四、价格与费用明细</w:t>
      </w:r>
    </w:p>
    <w:p>
      <w:pPr>
        <w:widowControl/>
        <w:spacing w:line="360" w:lineRule="auto"/>
        <w:ind w:firstLine="638" w:firstLineChars="266"/>
        <w:rPr>
          <w:rFonts w:ascii="宋体" w:hAnsi="宋体" w:cs="宋体"/>
          <w:sz w:val="24"/>
        </w:rPr>
      </w:pPr>
      <w:r>
        <w:rPr>
          <w:rFonts w:hint="eastAsia" w:ascii="宋体" w:hAnsi="宋体" w:cs="宋体"/>
          <w:sz w:val="24"/>
        </w:rPr>
        <w:t>1. 投标旅行社应提供明确的旅游产品价格及费用明细，包括各项服务费用、景点门票费用、交通费用等，并对每条线路的成人和儿童团费分别报价，每条线路每人每天不超过200元/人（成人），1</w:t>
      </w:r>
      <w:r>
        <w:rPr>
          <w:rFonts w:ascii="宋体" w:hAnsi="宋体" w:cs="宋体"/>
          <w:sz w:val="24"/>
        </w:rPr>
        <w:t>40</w:t>
      </w:r>
      <w:r>
        <w:rPr>
          <w:rFonts w:hint="eastAsia" w:ascii="宋体" w:hAnsi="宋体" w:cs="宋体"/>
          <w:sz w:val="24"/>
        </w:rPr>
        <w:t>元/人(儿童</w:t>
      </w:r>
      <w:r>
        <w:rPr>
          <w:rFonts w:ascii="宋体" w:hAnsi="宋体" w:cs="宋体"/>
          <w:sz w:val="24"/>
        </w:rPr>
        <w:t>)</w:t>
      </w:r>
      <w:r>
        <w:rPr>
          <w:rFonts w:hint="eastAsia" w:ascii="宋体" w:hAnsi="宋体" w:cs="宋体"/>
          <w:sz w:val="24"/>
        </w:rPr>
        <w:t>。</w:t>
      </w:r>
    </w:p>
    <w:p>
      <w:pPr>
        <w:widowControl/>
        <w:spacing w:line="360" w:lineRule="auto"/>
        <w:ind w:firstLine="638" w:firstLineChars="266"/>
        <w:rPr>
          <w:rFonts w:ascii="宋体" w:hAnsi="宋体" w:cs="宋体"/>
          <w:sz w:val="24"/>
        </w:rPr>
      </w:pPr>
      <w:r>
        <w:rPr>
          <w:rFonts w:hint="eastAsia" w:ascii="宋体" w:hAnsi="宋体" w:cs="宋体"/>
          <w:sz w:val="24"/>
        </w:rPr>
        <w:t>2. 价格应合理透明，无隐形消费和额外费用。</w:t>
      </w:r>
    </w:p>
    <w:p>
      <w:pPr>
        <w:widowControl/>
        <w:spacing w:line="360" w:lineRule="auto"/>
        <w:ind w:firstLine="641" w:firstLineChars="266"/>
        <w:rPr>
          <w:rFonts w:ascii="宋体" w:hAnsi="宋体" w:cs="宋体"/>
          <w:b/>
          <w:bCs/>
          <w:sz w:val="24"/>
        </w:rPr>
      </w:pPr>
      <w:r>
        <w:rPr>
          <w:rFonts w:hint="eastAsia" w:ascii="宋体" w:hAnsi="宋体" w:cs="宋体"/>
          <w:b/>
          <w:bCs/>
          <w:sz w:val="24"/>
        </w:rPr>
        <w:t>五、保险与安全保障</w:t>
      </w:r>
    </w:p>
    <w:p>
      <w:pPr>
        <w:widowControl/>
        <w:spacing w:line="360" w:lineRule="auto"/>
        <w:ind w:firstLine="638" w:firstLineChars="266"/>
        <w:rPr>
          <w:rFonts w:ascii="宋体" w:hAnsi="宋体" w:cs="宋体"/>
          <w:sz w:val="24"/>
        </w:rPr>
      </w:pPr>
      <w:r>
        <w:rPr>
          <w:rFonts w:hint="eastAsia" w:ascii="宋体" w:hAnsi="宋体" w:cs="宋体"/>
          <w:sz w:val="24"/>
        </w:rPr>
        <w:t>1. 投标旅行社应为游客购买旅游意外险，确保游客在旅游过程中的安全。</w:t>
      </w:r>
    </w:p>
    <w:p>
      <w:pPr>
        <w:widowControl/>
        <w:spacing w:line="360" w:lineRule="auto"/>
        <w:ind w:firstLine="638" w:firstLineChars="266"/>
        <w:rPr>
          <w:rFonts w:ascii="宋体" w:hAnsi="宋体" w:cs="宋体"/>
          <w:sz w:val="24"/>
        </w:rPr>
      </w:pPr>
      <w:r>
        <w:rPr>
          <w:rFonts w:hint="eastAsia" w:ascii="宋体" w:hAnsi="宋体" w:cs="宋体"/>
          <w:sz w:val="24"/>
        </w:rPr>
        <w:t>2. 旅行社应制定并执行严格的安全管理制度，确保游客的人身和财产安全。</w:t>
      </w:r>
    </w:p>
    <w:p>
      <w:pPr>
        <w:widowControl/>
        <w:spacing w:line="360" w:lineRule="auto"/>
        <w:ind w:firstLine="641" w:firstLineChars="266"/>
        <w:rPr>
          <w:rFonts w:ascii="宋体" w:hAnsi="宋体" w:cs="宋体"/>
          <w:b/>
          <w:bCs/>
          <w:sz w:val="24"/>
        </w:rPr>
      </w:pPr>
      <w:r>
        <w:rPr>
          <w:rFonts w:hint="eastAsia" w:ascii="宋体" w:hAnsi="宋体" w:cs="宋体"/>
          <w:b/>
          <w:bCs/>
          <w:sz w:val="24"/>
        </w:rPr>
        <w:t>六、客户评价与信誉</w:t>
      </w:r>
    </w:p>
    <w:p>
      <w:pPr>
        <w:widowControl/>
        <w:spacing w:line="360" w:lineRule="auto"/>
        <w:ind w:firstLine="638" w:firstLineChars="266"/>
        <w:rPr>
          <w:rFonts w:ascii="宋体" w:hAnsi="宋体" w:cs="宋体"/>
          <w:sz w:val="24"/>
        </w:rPr>
      </w:pPr>
      <w:r>
        <w:rPr>
          <w:rFonts w:hint="eastAsia" w:ascii="宋体" w:hAnsi="宋体" w:cs="宋体"/>
          <w:sz w:val="24"/>
        </w:rPr>
        <w:t>1. 投标旅行社应提供近期客户评价，以证明其服务质量和信誉。</w:t>
      </w:r>
    </w:p>
    <w:p>
      <w:pPr>
        <w:widowControl/>
        <w:spacing w:line="360" w:lineRule="auto"/>
        <w:ind w:firstLine="638" w:firstLineChars="266"/>
        <w:rPr>
          <w:rFonts w:ascii="宋体" w:hAnsi="宋体" w:cs="宋体"/>
          <w:sz w:val="24"/>
        </w:rPr>
      </w:pPr>
      <w:r>
        <w:rPr>
          <w:rFonts w:hint="eastAsia" w:ascii="宋体" w:hAnsi="宋体" w:cs="宋体"/>
          <w:sz w:val="24"/>
        </w:rPr>
        <w:t>2. 旅行社应具有良好的市场口碑，无重大投诉和纠纷。</w:t>
      </w:r>
    </w:p>
    <w:p>
      <w:pPr>
        <w:widowControl/>
        <w:spacing w:line="360" w:lineRule="auto"/>
        <w:ind w:firstLine="641" w:firstLineChars="266"/>
        <w:rPr>
          <w:rFonts w:ascii="宋体" w:hAnsi="宋体" w:cs="宋体"/>
          <w:b/>
          <w:bCs/>
          <w:sz w:val="24"/>
        </w:rPr>
      </w:pPr>
      <w:r>
        <w:rPr>
          <w:rFonts w:hint="eastAsia" w:ascii="宋体" w:hAnsi="宋体" w:cs="宋体"/>
          <w:b/>
          <w:bCs/>
          <w:sz w:val="24"/>
        </w:rPr>
        <w:t>七、合同条款与细则</w:t>
      </w:r>
    </w:p>
    <w:p>
      <w:pPr>
        <w:widowControl/>
        <w:spacing w:line="360" w:lineRule="auto"/>
        <w:ind w:firstLine="638" w:firstLineChars="266"/>
        <w:rPr>
          <w:rFonts w:ascii="宋体" w:hAnsi="宋体" w:cs="宋体"/>
          <w:sz w:val="24"/>
        </w:rPr>
      </w:pPr>
      <w:r>
        <w:rPr>
          <w:rFonts w:hint="eastAsia" w:ascii="宋体" w:hAnsi="宋体" w:cs="宋体"/>
          <w:sz w:val="24"/>
        </w:rPr>
        <w:t>1. 投标旅行社应提供详细的合同条款与细则，包括但不限于合同双方的权利与义务、违约责任、争议解决方式等。</w:t>
      </w:r>
    </w:p>
    <w:p>
      <w:pPr>
        <w:widowControl/>
        <w:spacing w:line="360" w:lineRule="auto"/>
        <w:ind w:firstLine="638" w:firstLineChars="266"/>
        <w:rPr>
          <w:rFonts w:ascii="宋体" w:hAnsi="宋体" w:cs="宋体"/>
          <w:sz w:val="24"/>
        </w:rPr>
      </w:pPr>
      <w:r>
        <w:rPr>
          <w:rFonts w:hint="eastAsia" w:ascii="宋体" w:hAnsi="宋体" w:cs="宋体"/>
          <w:sz w:val="24"/>
        </w:rPr>
        <w:t>2. 合同应公平合理，保护游客的合法权益。</w:t>
      </w:r>
    </w:p>
    <w:p>
      <w:pPr>
        <w:widowControl/>
        <w:spacing w:line="360" w:lineRule="auto"/>
        <w:ind w:firstLine="641" w:firstLineChars="266"/>
        <w:rPr>
          <w:rFonts w:ascii="宋体" w:hAnsi="宋体" w:cs="宋体"/>
          <w:b/>
          <w:bCs/>
          <w:sz w:val="24"/>
        </w:rPr>
      </w:pPr>
      <w:r>
        <w:rPr>
          <w:rFonts w:hint="eastAsia" w:ascii="宋体" w:hAnsi="宋体" w:cs="宋体"/>
          <w:b/>
          <w:bCs/>
          <w:sz w:val="24"/>
        </w:rPr>
        <w:t>八、投标方式与截止日期</w:t>
      </w:r>
    </w:p>
    <w:p>
      <w:pPr>
        <w:widowControl/>
        <w:spacing w:line="360" w:lineRule="auto"/>
        <w:ind w:firstLine="638" w:firstLineChars="266"/>
        <w:rPr>
          <w:rFonts w:ascii="宋体" w:hAnsi="宋体" w:cs="宋体"/>
          <w:sz w:val="24"/>
        </w:rPr>
      </w:pPr>
      <w:r>
        <w:rPr>
          <w:rFonts w:hint="eastAsia" w:ascii="宋体" w:hAnsi="宋体" w:cs="宋体"/>
          <w:sz w:val="24"/>
        </w:rPr>
        <w:t>1. 投标旅行社应按照招标文件要求填写投标书，并附上相关证明文件和资料。</w:t>
      </w:r>
    </w:p>
    <w:p>
      <w:pPr>
        <w:widowControl/>
        <w:spacing w:line="360" w:lineRule="auto"/>
        <w:ind w:firstLine="638" w:firstLineChars="266"/>
        <w:rPr>
          <w:rFonts w:ascii="宋体" w:hAnsi="宋体" w:cs="宋体"/>
          <w:sz w:val="24"/>
        </w:rPr>
      </w:pPr>
      <w:r>
        <w:rPr>
          <w:rFonts w:hint="eastAsia" w:ascii="宋体" w:hAnsi="宋体" w:cs="宋体"/>
          <w:sz w:val="24"/>
        </w:rPr>
        <w:t>2. 投标截止日期为2024年03月</w:t>
      </w:r>
      <w:r>
        <w:rPr>
          <w:rFonts w:hint="eastAsia" w:ascii="宋体" w:hAnsi="宋体" w:cs="宋体"/>
          <w:sz w:val="24"/>
          <w:lang w:val="en-US" w:eastAsia="zh-CN"/>
        </w:rPr>
        <w:t>22</w:t>
      </w:r>
      <w:r>
        <w:rPr>
          <w:rFonts w:hint="eastAsia" w:ascii="宋体" w:hAnsi="宋体" w:cs="宋体"/>
          <w:sz w:val="24"/>
        </w:rPr>
        <w:t>日12时00分（北京时间），逾期提交的投标书将不予受理。</w:t>
      </w:r>
    </w:p>
    <w:p>
      <w:pPr>
        <w:widowControl/>
        <w:spacing w:line="360" w:lineRule="auto"/>
        <w:ind w:firstLine="638" w:firstLineChars="266"/>
        <w:rPr>
          <w:rFonts w:ascii="仿宋_GB2312" w:hAnsi="仿宋_GB2312" w:eastAsia="仿宋_GB2312" w:cs="仿宋_GB2312"/>
          <w:sz w:val="24"/>
        </w:rPr>
      </w:pPr>
      <w:r>
        <w:rPr>
          <w:rFonts w:hint="eastAsia" w:ascii="宋体" w:hAnsi="宋体" w:cs="宋体"/>
          <w:sz w:val="24"/>
        </w:rPr>
        <w:t>敬请各旅行社按照上述要求认真准备投标文件，我们期待与优质合作伙伴携手共进，为游客提供更加美好的旅游体验。</w:t>
      </w:r>
    </w:p>
    <w:p>
      <w:pPr>
        <w:spacing w:line="360" w:lineRule="auto"/>
        <w:ind w:right="1123"/>
        <w:rPr>
          <w:rFonts w:ascii="方正仿宋_GBK" w:hAnsi="方正仿宋_GBK" w:eastAsia="方正仿宋_GBK" w:cs="方正仿宋_GBK"/>
          <w:sz w:val="32"/>
          <w:szCs w:val="32"/>
        </w:rPr>
      </w:pPr>
    </w:p>
    <w:p>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pPr>
        <w:numPr>
          <w:ilvl w:val="0"/>
          <w:numId w:val="4"/>
        </w:numPr>
        <w:spacing w:line="360" w:lineRule="auto"/>
        <w:ind w:right="1123"/>
        <w:rPr>
          <w:rFonts w:ascii="微软雅黑" w:hAnsi="微软雅黑" w:eastAsia="微软雅黑" w:cs="微软雅黑"/>
          <w:sz w:val="32"/>
          <w:szCs w:val="32"/>
        </w:rPr>
      </w:pPr>
      <w:r>
        <w:rPr>
          <w:rFonts w:hint="eastAsia" w:ascii="微软雅黑" w:hAnsi="微软雅黑" w:eastAsia="微软雅黑" w:cs="微软雅黑"/>
          <w:sz w:val="32"/>
          <w:szCs w:val="32"/>
        </w:rPr>
        <w:t>所选购的旅游服务项目为含税开票价格，并为一次性报价。</w:t>
      </w:r>
    </w:p>
    <w:p>
      <w:pPr>
        <w:numPr>
          <w:ilvl w:val="0"/>
          <w:numId w:val="4"/>
        </w:numPr>
        <w:spacing w:line="360" w:lineRule="auto"/>
        <w:ind w:right="1123"/>
        <w:rPr>
          <w:rFonts w:ascii="微软雅黑" w:hAnsi="微软雅黑" w:eastAsia="微软雅黑" w:cs="微软雅黑"/>
          <w:sz w:val="28"/>
          <w:szCs w:val="28"/>
        </w:rPr>
      </w:pPr>
      <w:r>
        <w:rPr>
          <w:rFonts w:hint="eastAsia" w:ascii="微软雅黑" w:hAnsi="微软雅黑" w:eastAsia="微软雅黑" w:cs="微软雅黑"/>
          <w:sz w:val="32"/>
          <w:szCs w:val="32"/>
        </w:rPr>
        <w:t>所供服务应达到国家标准。</w:t>
      </w:r>
    </w:p>
    <w:p>
      <w:pPr>
        <w:numPr>
          <w:ilvl w:val="0"/>
          <w:numId w:val="4"/>
        </w:numPr>
        <w:spacing w:line="360" w:lineRule="auto"/>
        <w:ind w:right="1123"/>
        <w:rPr>
          <w:rFonts w:ascii="微软雅黑" w:hAnsi="微软雅黑" w:eastAsia="微软雅黑" w:cs="微软雅黑"/>
          <w:sz w:val="28"/>
          <w:szCs w:val="28"/>
        </w:rPr>
      </w:pPr>
      <w:r>
        <w:rPr>
          <w:rFonts w:hint="eastAsia" w:ascii="微软雅黑" w:hAnsi="微软雅黑" w:eastAsia="微软雅黑" w:cs="微软雅黑"/>
          <w:sz w:val="32"/>
          <w:szCs w:val="32"/>
        </w:rPr>
        <w:t>询价表格式</w:t>
      </w:r>
      <w:r>
        <w:rPr>
          <w:rFonts w:hint="eastAsia" w:ascii="微软雅黑" w:hAnsi="微软雅黑" w:eastAsia="微软雅黑" w:cs="微软雅黑"/>
          <w:sz w:val="36"/>
          <w:szCs w:val="36"/>
        </w:rPr>
        <w:t>：</w:t>
      </w:r>
      <w:r>
        <w:rPr>
          <w:rFonts w:hint="eastAsia" w:ascii="微软雅黑" w:hAnsi="微软雅黑" w:eastAsia="微软雅黑" w:cs="微软雅黑"/>
          <w:b/>
          <w:bCs/>
          <w:color w:val="FF0000"/>
          <w:sz w:val="28"/>
          <w:szCs w:val="28"/>
        </w:rPr>
        <w:t>盖章密封纸质版文件</w:t>
      </w:r>
    </w:p>
    <w:p>
      <w:pPr>
        <w:numPr>
          <w:ilvl w:val="0"/>
          <w:numId w:val="4"/>
        </w:numPr>
        <w:spacing w:line="360" w:lineRule="auto"/>
        <w:ind w:right="1123"/>
        <w:rPr>
          <w:rFonts w:ascii="微软雅黑" w:hAnsi="微软雅黑" w:eastAsia="微软雅黑" w:cs="微软雅黑"/>
          <w:sz w:val="28"/>
          <w:szCs w:val="28"/>
        </w:rPr>
      </w:pPr>
      <w:r>
        <w:rPr>
          <w:rFonts w:hint="eastAsia" w:ascii="微软雅黑" w:hAnsi="微软雅黑" w:eastAsia="微软雅黑" w:cs="微软雅黑"/>
          <w:sz w:val="32"/>
          <w:szCs w:val="32"/>
        </w:rPr>
        <w:t>本项目不收取比选保证金</w:t>
      </w:r>
    </w:p>
    <w:p>
      <w:pPr>
        <w:numPr>
          <w:ilvl w:val="0"/>
          <w:numId w:val="4"/>
        </w:numPr>
        <w:spacing w:line="360" w:lineRule="auto"/>
        <w:ind w:right="1123"/>
        <w:rPr>
          <w:rFonts w:ascii="微软雅黑" w:hAnsi="微软雅黑" w:eastAsia="微软雅黑" w:cs="微软雅黑"/>
          <w:sz w:val="32"/>
          <w:szCs w:val="32"/>
        </w:rPr>
      </w:pPr>
      <w:r>
        <w:rPr>
          <w:rFonts w:hint="eastAsia" w:ascii="微软雅黑" w:hAnsi="微软雅黑" w:eastAsia="微软雅黑" w:cs="微软雅黑"/>
          <w:sz w:val="32"/>
          <w:szCs w:val="32"/>
        </w:rPr>
        <w:t>招标方式：比选,综合评分法。</w:t>
      </w:r>
    </w:p>
    <w:tbl>
      <w:tblPr>
        <w:tblStyle w:val="2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05"/>
        <w:gridCol w:w="810"/>
        <w:gridCol w:w="582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1" w:type="dxa"/>
            <w:vAlign w:val="center"/>
          </w:tcPr>
          <w:p>
            <w:pPr>
              <w:pStyle w:val="9"/>
              <w:spacing w:line="360" w:lineRule="auto"/>
              <w:jc w:val="center"/>
              <w:rPr>
                <w:rFonts w:ascii="宋体" w:hAnsi="宋体" w:cs="宋体"/>
                <w:b/>
                <w:bCs/>
                <w:sz w:val="22"/>
              </w:rPr>
            </w:pPr>
            <w:r>
              <w:rPr>
                <w:rFonts w:hint="eastAsia" w:ascii="宋体" w:hAnsi="宋体" w:cs="宋体"/>
                <w:b/>
                <w:bCs/>
                <w:sz w:val="22"/>
              </w:rPr>
              <w:t>序号</w:t>
            </w:r>
          </w:p>
        </w:tc>
        <w:tc>
          <w:tcPr>
            <w:tcW w:w="1305" w:type="dxa"/>
            <w:vAlign w:val="center"/>
          </w:tcPr>
          <w:p>
            <w:pPr>
              <w:pStyle w:val="9"/>
              <w:spacing w:line="360" w:lineRule="auto"/>
              <w:jc w:val="center"/>
              <w:rPr>
                <w:rFonts w:ascii="宋体" w:hAnsi="宋体" w:cs="宋体"/>
                <w:b/>
                <w:bCs/>
                <w:sz w:val="22"/>
              </w:rPr>
            </w:pPr>
            <w:r>
              <w:rPr>
                <w:rFonts w:hint="eastAsia" w:ascii="宋体" w:hAnsi="宋体" w:cs="宋体"/>
                <w:b/>
                <w:bCs/>
                <w:sz w:val="22"/>
              </w:rPr>
              <w:t>评分因素</w:t>
            </w:r>
          </w:p>
        </w:tc>
        <w:tc>
          <w:tcPr>
            <w:tcW w:w="810" w:type="dxa"/>
            <w:vAlign w:val="center"/>
          </w:tcPr>
          <w:p>
            <w:pPr>
              <w:pStyle w:val="9"/>
              <w:spacing w:line="360" w:lineRule="auto"/>
              <w:jc w:val="center"/>
              <w:rPr>
                <w:rFonts w:ascii="宋体" w:hAnsi="宋体" w:cs="宋体"/>
                <w:b/>
                <w:bCs/>
                <w:sz w:val="22"/>
              </w:rPr>
            </w:pPr>
            <w:r>
              <w:rPr>
                <w:rFonts w:hint="eastAsia" w:ascii="宋体" w:hAnsi="宋体" w:cs="宋体"/>
                <w:b/>
                <w:bCs/>
                <w:sz w:val="22"/>
              </w:rPr>
              <w:t>分值</w:t>
            </w:r>
          </w:p>
        </w:tc>
        <w:tc>
          <w:tcPr>
            <w:tcW w:w="5820" w:type="dxa"/>
            <w:vAlign w:val="center"/>
          </w:tcPr>
          <w:p>
            <w:pPr>
              <w:pStyle w:val="9"/>
              <w:spacing w:line="360" w:lineRule="auto"/>
              <w:jc w:val="center"/>
              <w:rPr>
                <w:rFonts w:ascii="宋体" w:hAnsi="宋体" w:cs="宋体"/>
                <w:b/>
                <w:bCs/>
                <w:sz w:val="22"/>
              </w:rPr>
            </w:pPr>
            <w:r>
              <w:rPr>
                <w:rFonts w:hint="eastAsia" w:ascii="宋体" w:hAnsi="宋体" w:cs="宋体"/>
                <w:b/>
                <w:bCs/>
                <w:sz w:val="22"/>
              </w:rPr>
              <w:t>评分要求</w:t>
            </w:r>
          </w:p>
        </w:tc>
        <w:tc>
          <w:tcPr>
            <w:tcW w:w="975" w:type="dxa"/>
            <w:vAlign w:val="center"/>
          </w:tcPr>
          <w:p>
            <w:pPr>
              <w:pStyle w:val="9"/>
              <w:spacing w:line="360" w:lineRule="auto"/>
              <w:jc w:val="center"/>
              <w:rPr>
                <w:rFonts w:ascii="宋体" w:hAnsi="宋体" w:cs="宋体"/>
                <w:b/>
                <w:bCs/>
                <w:sz w:val="22"/>
              </w:rPr>
            </w:pPr>
            <w:r>
              <w:rPr>
                <w:rFonts w:hint="eastAsia" w:ascii="宋体" w:hAnsi="宋体" w:cs="宋体"/>
                <w:b/>
                <w:bCs/>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1" w:type="dxa"/>
            <w:vAlign w:val="center"/>
          </w:tcPr>
          <w:p>
            <w:pPr>
              <w:pStyle w:val="9"/>
              <w:spacing w:line="360" w:lineRule="auto"/>
              <w:jc w:val="center"/>
              <w:rPr>
                <w:rFonts w:ascii="宋体" w:hAnsi="宋体" w:cs="宋体"/>
                <w:bCs/>
                <w:sz w:val="22"/>
              </w:rPr>
            </w:pPr>
            <w:r>
              <w:rPr>
                <w:rFonts w:hint="eastAsia" w:ascii="宋体" w:hAnsi="宋体" w:cs="宋体"/>
                <w:bCs/>
                <w:sz w:val="22"/>
              </w:rPr>
              <w:t>1</w:t>
            </w:r>
          </w:p>
        </w:tc>
        <w:tc>
          <w:tcPr>
            <w:tcW w:w="1305" w:type="dxa"/>
            <w:vAlign w:val="center"/>
          </w:tcPr>
          <w:p>
            <w:pPr>
              <w:pStyle w:val="9"/>
              <w:spacing w:line="360" w:lineRule="auto"/>
              <w:jc w:val="center"/>
              <w:rPr>
                <w:rFonts w:ascii="宋体" w:hAnsi="宋体" w:cs="宋体"/>
                <w:bCs/>
                <w:sz w:val="22"/>
              </w:rPr>
            </w:pPr>
            <w:r>
              <w:rPr>
                <w:rFonts w:hint="eastAsia" w:ascii="宋体" w:hAnsi="宋体" w:cs="宋体"/>
                <w:bCs/>
                <w:sz w:val="22"/>
              </w:rPr>
              <w:t>报价</w:t>
            </w:r>
          </w:p>
        </w:tc>
        <w:tc>
          <w:tcPr>
            <w:tcW w:w="810" w:type="dxa"/>
            <w:vAlign w:val="center"/>
          </w:tcPr>
          <w:p>
            <w:pPr>
              <w:pStyle w:val="9"/>
              <w:spacing w:line="360" w:lineRule="auto"/>
              <w:jc w:val="center"/>
              <w:rPr>
                <w:rFonts w:ascii="宋体" w:hAnsi="宋体" w:cs="宋体"/>
                <w:bCs/>
                <w:sz w:val="22"/>
              </w:rPr>
            </w:pPr>
            <w:r>
              <w:rPr>
                <w:rFonts w:hint="eastAsia" w:ascii="宋体" w:hAnsi="宋体" w:cs="宋体"/>
                <w:bCs/>
                <w:sz w:val="22"/>
              </w:rPr>
              <w:t>20分</w:t>
            </w:r>
          </w:p>
        </w:tc>
        <w:tc>
          <w:tcPr>
            <w:tcW w:w="5820" w:type="dxa"/>
            <w:vAlign w:val="center"/>
          </w:tcPr>
          <w:p>
            <w:pPr>
              <w:spacing w:line="360" w:lineRule="auto"/>
              <w:jc w:val="left"/>
              <w:rPr>
                <w:rFonts w:ascii="宋体" w:hAnsi="宋体" w:cs="宋体"/>
                <w:bCs/>
                <w:sz w:val="22"/>
              </w:rPr>
            </w:pPr>
            <w:r>
              <w:rPr>
                <w:rFonts w:hint="eastAsia" w:ascii="宋体" w:hAnsi="宋体" w:cs="宋体"/>
                <w:bCs/>
                <w:sz w:val="22"/>
              </w:rPr>
              <w:t>满足比选文件要求且价格最低的比选报价为基准价，其价格分为满分。其他比选报价得分=(基准价／比选报价)×20；</w:t>
            </w:r>
          </w:p>
        </w:tc>
        <w:tc>
          <w:tcPr>
            <w:tcW w:w="975" w:type="dxa"/>
            <w:vAlign w:val="center"/>
          </w:tcPr>
          <w:p>
            <w:pPr>
              <w:pStyle w:val="9"/>
              <w:spacing w:line="360" w:lineRule="auto"/>
              <w:jc w:val="center"/>
              <w:rPr>
                <w:rFonts w:ascii="宋体" w:hAnsi="宋体" w:cs="宋体"/>
                <w:bCs/>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1" w:type="dxa"/>
            <w:vAlign w:val="center"/>
          </w:tcPr>
          <w:p>
            <w:pPr>
              <w:pStyle w:val="9"/>
              <w:spacing w:line="360" w:lineRule="auto"/>
              <w:jc w:val="center"/>
              <w:rPr>
                <w:rFonts w:ascii="宋体" w:hAnsi="宋体" w:cs="宋体"/>
                <w:bCs/>
                <w:sz w:val="22"/>
              </w:rPr>
            </w:pPr>
            <w:r>
              <w:rPr>
                <w:rFonts w:hint="eastAsia" w:ascii="宋体" w:hAnsi="宋体" w:cs="宋体"/>
                <w:bCs/>
                <w:sz w:val="22"/>
              </w:rPr>
              <w:t>2</w:t>
            </w:r>
          </w:p>
        </w:tc>
        <w:tc>
          <w:tcPr>
            <w:tcW w:w="1305" w:type="dxa"/>
            <w:vAlign w:val="center"/>
          </w:tcPr>
          <w:p>
            <w:pPr>
              <w:pStyle w:val="9"/>
              <w:spacing w:line="360" w:lineRule="auto"/>
              <w:jc w:val="center"/>
              <w:rPr>
                <w:rFonts w:ascii="宋体" w:hAnsi="宋体" w:cs="宋体"/>
                <w:bCs/>
                <w:sz w:val="22"/>
              </w:rPr>
            </w:pPr>
            <w:r>
              <w:rPr>
                <w:rFonts w:hint="eastAsia" w:ascii="宋体" w:hAnsi="宋体" w:cs="宋体"/>
                <w:bCs/>
                <w:sz w:val="22"/>
              </w:rPr>
              <w:t>线路设计方案</w:t>
            </w:r>
          </w:p>
        </w:tc>
        <w:tc>
          <w:tcPr>
            <w:tcW w:w="810" w:type="dxa"/>
            <w:vAlign w:val="center"/>
          </w:tcPr>
          <w:p>
            <w:pPr>
              <w:pStyle w:val="9"/>
              <w:spacing w:line="360" w:lineRule="auto"/>
              <w:jc w:val="center"/>
              <w:rPr>
                <w:rFonts w:ascii="宋体" w:hAnsi="宋体" w:cs="宋体"/>
                <w:bCs/>
                <w:sz w:val="22"/>
              </w:rPr>
            </w:pPr>
            <w:r>
              <w:rPr>
                <w:rFonts w:hint="eastAsia" w:ascii="宋体" w:hAnsi="宋体" w:cs="宋体"/>
                <w:bCs/>
                <w:sz w:val="22"/>
              </w:rPr>
              <w:t>40分</w:t>
            </w:r>
          </w:p>
        </w:tc>
        <w:tc>
          <w:tcPr>
            <w:tcW w:w="5820" w:type="dxa"/>
            <w:vAlign w:val="center"/>
          </w:tcPr>
          <w:p>
            <w:pPr>
              <w:spacing w:line="360" w:lineRule="auto"/>
              <w:rPr>
                <w:rFonts w:ascii="宋体" w:hAnsi="宋体" w:cs="宋体"/>
                <w:bCs/>
                <w:spacing w:val="11"/>
                <w:sz w:val="22"/>
              </w:rPr>
            </w:pPr>
            <w:r>
              <w:rPr>
                <w:rFonts w:hint="eastAsia" w:ascii="宋体" w:hAnsi="宋体" w:cs="宋体"/>
                <w:bCs/>
                <w:spacing w:val="11"/>
                <w:sz w:val="22"/>
              </w:rPr>
              <w:t>（一）投标人根据所提供基本线路提供详细出行线路设计，规划内容包括：</w:t>
            </w:r>
          </w:p>
          <w:p>
            <w:pPr>
              <w:spacing w:line="360" w:lineRule="auto"/>
              <w:rPr>
                <w:rFonts w:ascii="宋体" w:hAnsi="宋体" w:cs="宋体"/>
                <w:bCs/>
                <w:spacing w:val="11"/>
                <w:sz w:val="22"/>
              </w:rPr>
            </w:pPr>
            <w:r>
              <w:rPr>
                <w:rFonts w:hint="eastAsia" w:ascii="宋体" w:hAnsi="宋体" w:cs="宋体"/>
                <w:bCs/>
                <w:spacing w:val="11"/>
                <w:sz w:val="22"/>
              </w:rPr>
              <w:t>（1）出行节点安排；</w:t>
            </w:r>
          </w:p>
          <w:p>
            <w:pPr>
              <w:spacing w:line="360" w:lineRule="auto"/>
              <w:rPr>
                <w:rFonts w:ascii="宋体" w:hAnsi="宋体" w:cs="宋体"/>
                <w:bCs/>
                <w:spacing w:val="11"/>
                <w:sz w:val="22"/>
              </w:rPr>
            </w:pPr>
            <w:r>
              <w:rPr>
                <w:rFonts w:hint="eastAsia" w:ascii="宋体" w:hAnsi="宋体" w:cs="宋体"/>
                <w:bCs/>
                <w:spacing w:val="11"/>
                <w:sz w:val="22"/>
              </w:rPr>
              <w:t>（2）餐饮（午、晚餐）安排；</w:t>
            </w:r>
          </w:p>
          <w:p>
            <w:pPr>
              <w:spacing w:line="360" w:lineRule="auto"/>
              <w:rPr>
                <w:rFonts w:ascii="宋体" w:hAnsi="宋体" w:cs="宋体"/>
                <w:bCs/>
                <w:spacing w:val="11"/>
                <w:sz w:val="22"/>
              </w:rPr>
            </w:pPr>
            <w:r>
              <w:rPr>
                <w:rFonts w:hint="eastAsia" w:ascii="宋体" w:hAnsi="宋体" w:cs="宋体"/>
                <w:bCs/>
                <w:spacing w:val="11"/>
                <w:sz w:val="22"/>
              </w:rPr>
              <w:t>（3）费用明细；</w:t>
            </w:r>
          </w:p>
          <w:p>
            <w:pPr>
              <w:spacing w:line="360" w:lineRule="auto"/>
              <w:rPr>
                <w:rFonts w:ascii="宋体" w:hAnsi="宋体" w:cs="宋体"/>
                <w:bCs/>
                <w:spacing w:val="11"/>
                <w:sz w:val="22"/>
              </w:rPr>
            </w:pPr>
            <w:r>
              <w:rPr>
                <w:rFonts w:hint="eastAsia" w:ascii="宋体" w:hAnsi="宋体" w:cs="宋体"/>
                <w:bCs/>
                <w:spacing w:val="11"/>
                <w:sz w:val="22"/>
              </w:rPr>
              <w:t>（4）出行注意事项（可能存在哪些安全隐患）；</w:t>
            </w:r>
          </w:p>
          <w:p>
            <w:pPr>
              <w:spacing w:line="360" w:lineRule="auto"/>
              <w:rPr>
                <w:rFonts w:ascii="宋体" w:hAnsi="宋体" w:cs="宋体"/>
                <w:bCs/>
                <w:spacing w:val="11"/>
                <w:sz w:val="22"/>
              </w:rPr>
            </w:pPr>
            <w:r>
              <w:rPr>
                <w:rFonts w:hint="eastAsia" w:ascii="宋体" w:hAnsi="宋体" w:cs="宋体"/>
                <w:bCs/>
                <w:spacing w:val="11"/>
                <w:sz w:val="22"/>
              </w:rPr>
              <w:t>（5）备用方案（遇到特殊情况的就近备用出行方案）。</w:t>
            </w:r>
          </w:p>
          <w:p>
            <w:pPr>
              <w:spacing w:line="360" w:lineRule="auto"/>
              <w:rPr>
                <w:rFonts w:ascii="宋体" w:hAnsi="宋体" w:cs="宋体"/>
                <w:bCs/>
                <w:spacing w:val="11"/>
                <w:sz w:val="22"/>
              </w:rPr>
            </w:pPr>
            <w:r>
              <w:rPr>
                <w:rFonts w:hint="eastAsia" w:ascii="宋体" w:hAnsi="宋体" w:cs="宋体"/>
                <w:bCs/>
                <w:spacing w:val="11"/>
                <w:sz w:val="22"/>
              </w:rPr>
              <w:t>（二）评分细则：</w:t>
            </w:r>
          </w:p>
          <w:p>
            <w:pPr>
              <w:spacing w:line="360" w:lineRule="auto"/>
              <w:rPr>
                <w:rFonts w:ascii="宋体" w:hAnsi="宋体" w:cs="宋体"/>
                <w:bCs/>
                <w:spacing w:val="11"/>
                <w:sz w:val="22"/>
              </w:rPr>
            </w:pPr>
            <w:r>
              <w:rPr>
                <w:rFonts w:hint="eastAsia" w:ascii="宋体" w:hAnsi="宋体" w:cs="宋体"/>
                <w:bCs/>
                <w:spacing w:val="11"/>
                <w:sz w:val="22"/>
              </w:rPr>
              <w:t>方案包含以上五点内容，</w:t>
            </w:r>
            <w:r>
              <w:rPr>
                <w:rFonts w:hint="eastAsia" w:ascii="宋体" w:hAnsi="宋体" w:cs="宋体"/>
                <w:bCs/>
                <w:spacing w:val="11"/>
                <w:sz w:val="22"/>
                <w:lang w:eastAsia="zh-CN"/>
              </w:rPr>
              <w:t>得</w:t>
            </w:r>
            <w:r>
              <w:rPr>
                <w:rFonts w:hint="eastAsia" w:ascii="宋体" w:hAnsi="宋体" w:cs="宋体"/>
                <w:bCs/>
                <w:spacing w:val="11"/>
                <w:sz w:val="22"/>
                <w:lang w:val="en-US" w:eastAsia="zh-CN"/>
              </w:rPr>
              <w:t>30</w:t>
            </w:r>
            <w:r>
              <w:rPr>
                <w:rFonts w:hint="eastAsia" w:ascii="宋体" w:hAnsi="宋体" w:cs="宋体"/>
                <w:bCs/>
                <w:spacing w:val="11"/>
                <w:sz w:val="22"/>
              </w:rPr>
              <w:t>分，方案包含以上四点内容，得</w:t>
            </w:r>
            <w:r>
              <w:rPr>
                <w:rFonts w:hint="eastAsia" w:ascii="宋体" w:hAnsi="宋体" w:cs="宋体"/>
                <w:bCs/>
                <w:spacing w:val="11"/>
                <w:sz w:val="22"/>
                <w:lang w:val="en-US" w:eastAsia="zh-CN"/>
              </w:rPr>
              <w:t>24</w:t>
            </w:r>
            <w:r>
              <w:rPr>
                <w:rFonts w:hint="eastAsia" w:ascii="宋体" w:hAnsi="宋体" w:cs="宋体"/>
                <w:bCs/>
                <w:spacing w:val="11"/>
                <w:sz w:val="22"/>
              </w:rPr>
              <w:t>分，</w:t>
            </w:r>
            <w:r>
              <w:rPr>
                <w:rFonts w:hint="eastAsia" w:ascii="宋体" w:hAnsi="宋体" w:cs="宋体"/>
                <w:bCs/>
                <w:spacing w:val="11"/>
                <w:sz w:val="22"/>
                <w:lang w:eastAsia="zh-CN"/>
              </w:rPr>
              <w:t>每缺一项扣</w:t>
            </w:r>
            <w:r>
              <w:rPr>
                <w:rFonts w:hint="eastAsia" w:ascii="宋体" w:hAnsi="宋体" w:cs="宋体"/>
                <w:bCs/>
                <w:spacing w:val="11"/>
                <w:sz w:val="22"/>
                <w:lang w:val="en-US" w:eastAsia="zh-CN"/>
              </w:rPr>
              <w:t>6分，</w:t>
            </w:r>
            <w:r>
              <w:rPr>
                <w:rFonts w:hint="eastAsia" w:ascii="宋体" w:hAnsi="宋体" w:cs="宋体"/>
                <w:bCs/>
                <w:spacing w:val="11"/>
                <w:sz w:val="22"/>
              </w:rPr>
              <w:t>以此类推，未提供以上内容不得分。</w:t>
            </w:r>
          </w:p>
          <w:p>
            <w:pPr>
              <w:spacing w:line="360" w:lineRule="auto"/>
              <w:rPr>
                <w:rFonts w:ascii="宋体" w:hAnsi="宋体" w:cs="宋体"/>
                <w:bCs/>
                <w:spacing w:val="11"/>
                <w:sz w:val="22"/>
              </w:rPr>
            </w:pPr>
            <w:r>
              <w:rPr>
                <w:rFonts w:hint="eastAsia" w:ascii="宋体" w:hAnsi="宋体" w:cs="宋体"/>
                <w:bCs/>
                <w:spacing w:val="11"/>
                <w:sz w:val="22"/>
              </w:rPr>
              <w:t>在上述详细出行线路的基础上，根据内容进一步评审。</w:t>
            </w:r>
          </w:p>
          <w:p>
            <w:pPr>
              <w:spacing w:line="360" w:lineRule="auto"/>
              <w:rPr>
                <w:rFonts w:ascii="宋体" w:hAnsi="宋体" w:cs="宋体"/>
                <w:bCs/>
                <w:spacing w:val="11"/>
                <w:sz w:val="22"/>
              </w:rPr>
            </w:pPr>
            <w:r>
              <w:rPr>
                <w:rFonts w:hint="eastAsia" w:ascii="宋体" w:hAnsi="宋体" w:cs="宋体"/>
                <w:bCs/>
                <w:spacing w:val="11"/>
                <w:sz w:val="22"/>
              </w:rPr>
              <w:t>（1）线路设计方案详细且针对性强，详细说明时间节点和步骤，明确各个人员安排及分工、备用方案可行性强，加10分；</w:t>
            </w:r>
          </w:p>
          <w:p>
            <w:pPr>
              <w:spacing w:line="360" w:lineRule="auto"/>
              <w:rPr>
                <w:rFonts w:ascii="宋体" w:hAnsi="宋体" w:cs="宋体"/>
                <w:bCs/>
                <w:spacing w:val="11"/>
                <w:sz w:val="22"/>
              </w:rPr>
            </w:pPr>
            <w:r>
              <w:rPr>
                <w:rFonts w:hint="eastAsia" w:ascii="宋体" w:hAnsi="宋体" w:cs="宋体"/>
                <w:bCs/>
                <w:spacing w:val="11"/>
                <w:sz w:val="22"/>
              </w:rPr>
              <w:t>（2）线路设计方案针对性较强，能够详细说明时间节点和步骤，明确各个人员安排及分工、备用方案可行性较好，加6分；</w:t>
            </w:r>
          </w:p>
          <w:p>
            <w:pPr>
              <w:spacing w:line="360" w:lineRule="auto"/>
              <w:rPr>
                <w:rFonts w:ascii="宋体" w:hAnsi="宋体" w:cs="宋体"/>
                <w:bCs/>
                <w:spacing w:val="11"/>
                <w:sz w:val="22"/>
              </w:rPr>
            </w:pPr>
            <w:r>
              <w:rPr>
                <w:rFonts w:hint="eastAsia" w:ascii="宋体" w:hAnsi="宋体" w:cs="宋体"/>
                <w:bCs/>
                <w:spacing w:val="11"/>
                <w:sz w:val="22"/>
              </w:rPr>
              <w:t>（3）线路设计方案针对性一般，时间节点和步骤、各个人员安排及分工不够详细、备用方案可行性一般，加2分；</w:t>
            </w:r>
          </w:p>
          <w:p>
            <w:pPr>
              <w:spacing w:line="360" w:lineRule="auto"/>
              <w:rPr>
                <w:rFonts w:ascii="宋体" w:hAnsi="宋体" w:cs="宋体"/>
                <w:bCs/>
                <w:sz w:val="22"/>
              </w:rPr>
            </w:pPr>
            <w:r>
              <w:rPr>
                <w:rFonts w:hint="eastAsia" w:ascii="宋体" w:hAnsi="宋体" w:cs="宋体"/>
                <w:bCs/>
                <w:spacing w:val="11"/>
                <w:sz w:val="22"/>
              </w:rPr>
              <w:t>（4）线路设计方案不符合采购需求，备用方案可行性差，或未提供方案的，不加分。</w:t>
            </w:r>
          </w:p>
        </w:tc>
        <w:tc>
          <w:tcPr>
            <w:tcW w:w="975" w:type="dxa"/>
            <w:vAlign w:val="center"/>
          </w:tcPr>
          <w:p>
            <w:pPr>
              <w:spacing w:line="360" w:lineRule="auto"/>
              <w:jc w:val="center"/>
              <w:rPr>
                <w:rFonts w:ascii="宋体" w:hAnsi="宋体" w:cs="宋体"/>
                <w:bCs/>
                <w:kern w:val="0"/>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41" w:type="dxa"/>
            <w:vAlign w:val="center"/>
          </w:tcPr>
          <w:p>
            <w:pPr>
              <w:pStyle w:val="9"/>
              <w:spacing w:line="360" w:lineRule="auto"/>
              <w:jc w:val="center"/>
              <w:rPr>
                <w:rFonts w:ascii="宋体" w:hAnsi="宋体" w:cs="宋体"/>
                <w:bCs/>
                <w:sz w:val="22"/>
              </w:rPr>
            </w:pPr>
            <w:r>
              <w:rPr>
                <w:rFonts w:hint="eastAsia" w:ascii="宋体" w:hAnsi="宋体" w:cs="宋体"/>
                <w:bCs/>
                <w:sz w:val="22"/>
              </w:rPr>
              <w:t>3</w:t>
            </w:r>
          </w:p>
        </w:tc>
        <w:tc>
          <w:tcPr>
            <w:tcW w:w="1305" w:type="dxa"/>
            <w:vAlign w:val="center"/>
          </w:tcPr>
          <w:p>
            <w:pPr>
              <w:pStyle w:val="9"/>
              <w:spacing w:line="360" w:lineRule="auto"/>
              <w:jc w:val="center"/>
              <w:rPr>
                <w:rFonts w:ascii="宋体" w:hAnsi="宋体" w:cs="宋体"/>
                <w:bCs/>
                <w:sz w:val="22"/>
              </w:rPr>
            </w:pPr>
            <w:r>
              <w:rPr>
                <w:rFonts w:hint="eastAsia" w:ascii="宋体" w:hAnsi="宋体" w:cs="宋体"/>
                <w:bCs/>
                <w:sz w:val="22"/>
              </w:rPr>
              <w:t>出行服务方案</w:t>
            </w:r>
          </w:p>
        </w:tc>
        <w:tc>
          <w:tcPr>
            <w:tcW w:w="810" w:type="dxa"/>
            <w:vAlign w:val="center"/>
          </w:tcPr>
          <w:p>
            <w:pPr>
              <w:pStyle w:val="9"/>
              <w:spacing w:line="360" w:lineRule="auto"/>
              <w:jc w:val="center"/>
              <w:rPr>
                <w:rFonts w:ascii="宋体" w:hAnsi="宋体" w:cs="宋体"/>
                <w:bCs/>
                <w:sz w:val="22"/>
              </w:rPr>
            </w:pPr>
            <w:r>
              <w:rPr>
                <w:rFonts w:hint="eastAsia" w:ascii="宋体" w:hAnsi="宋体" w:cs="宋体"/>
                <w:bCs/>
                <w:sz w:val="22"/>
              </w:rPr>
              <w:t>15分</w:t>
            </w:r>
          </w:p>
        </w:tc>
        <w:tc>
          <w:tcPr>
            <w:tcW w:w="5820" w:type="dxa"/>
            <w:vAlign w:val="center"/>
          </w:tcPr>
          <w:p>
            <w:pPr>
              <w:pStyle w:val="69"/>
              <w:spacing w:line="360" w:lineRule="auto"/>
              <w:rPr>
                <w:rFonts w:ascii="宋体" w:hAnsi="宋体" w:cs="宋体"/>
                <w:sz w:val="22"/>
                <w:szCs w:val="22"/>
                <w:lang w:bidi="ar"/>
              </w:rPr>
            </w:pPr>
            <w:r>
              <w:rPr>
                <w:rFonts w:hint="eastAsia" w:ascii="宋体" w:hAnsi="宋体" w:cs="宋体"/>
                <w:sz w:val="22"/>
                <w:szCs w:val="22"/>
                <w:lang w:bidi="ar"/>
              </w:rPr>
              <w:t>（一）提供具体出行时的服务方案，具体包括：</w:t>
            </w:r>
          </w:p>
          <w:p>
            <w:pPr>
              <w:pStyle w:val="69"/>
              <w:spacing w:line="360" w:lineRule="auto"/>
              <w:rPr>
                <w:rFonts w:ascii="宋体" w:hAnsi="宋体" w:cs="宋体"/>
                <w:sz w:val="22"/>
                <w:szCs w:val="22"/>
                <w:lang w:bidi="ar"/>
              </w:rPr>
            </w:pPr>
            <w:r>
              <w:rPr>
                <w:rFonts w:hint="eastAsia" w:ascii="宋体" w:hAnsi="宋体" w:cs="宋体"/>
                <w:sz w:val="22"/>
                <w:szCs w:val="22"/>
                <w:lang w:bidi="ar"/>
              </w:rPr>
              <w:t>（1）服务车辆配备情况；</w:t>
            </w:r>
          </w:p>
          <w:p>
            <w:pPr>
              <w:pStyle w:val="69"/>
              <w:spacing w:line="360" w:lineRule="auto"/>
              <w:rPr>
                <w:rFonts w:ascii="宋体" w:hAnsi="宋体" w:cs="宋体"/>
                <w:sz w:val="22"/>
                <w:szCs w:val="22"/>
                <w:lang w:bidi="ar"/>
              </w:rPr>
            </w:pPr>
            <w:r>
              <w:rPr>
                <w:rFonts w:hint="eastAsia" w:ascii="宋体" w:hAnsi="宋体" w:cs="宋体"/>
                <w:sz w:val="22"/>
                <w:szCs w:val="22"/>
                <w:lang w:bidi="ar"/>
              </w:rPr>
              <w:t>（2）人员救治、人员安全保障方案；</w:t>
            </w:r>
          </w:p>
          <w:p>
            <w:pPr>
              <w:pStyle w:val="69"/>
              <w:spacing w:line="360" w:lineRule="auto"/>
              <w:rPr>
                <w:rFonts w:ascii="宋体" w:hAnsi="宋体" w:cs="宋体"/>
                <w:sz w:val="22"/>
                <w:szCs w:val="22"/>
                <w:lang w:bidi="ar"/>
              </w:rPr>
            </w:pPr>
            <w:r>
              <w:rPr>
                <w:rFonts w:hint="eastAsia" w:ascii="宋体" w:hAnsi="宋体" w:cs="宋体"/>
                <w:sz w:val="22"/>
                <w:szCs w:val="22"/>
                <w:lang w:bidi="ar"/>
              </w:rPr>
              <w:t>（3）工作人员应急服务保障和处理方案；</w:t>
            </w:r>
          </w:p>
          <w:p>
            <w:pPr>
              <w:pStyle w:val="69"/>
              <w:spacing w:line="360" w:lineRule="auto"/>
              <w:rPr>
                <w:rFonts w:ascii="宋体" w:hAnsi="宋体" w:cs="宋体"/>
                <w:sz w:val="22"/>
                <w:szCs w:val="22"/>
                <w:lang w:bidi="ar"/>
              </w:rPr>
            </w:pPr>
            <w:r>
              <w:rPr>
                <w:rFonts w:hint="eastAsia" w:ascii="宋体" w:hAnsi="宋体" w:cs="宋体"/>
                <w:sz w:val="22"/>
                <w:szCs w:val="22"/>
                <w:lang w:bidi="ar"/>
              </w:rPr>
              <w:t>（二）评分细则：</w:t>
            </w:r>
          </w:p>
          <w:p>
            <w:pPr>
              <w:pStyle w:val="69"/>
              <w:spacing w:line="360" w:lineRule="auto"/>
              <w:rPr>
                <w:rFonts w:ascii="宋体" w:hAnsi="宋体" w:cs="宋体"/>
                <w:sz w:val="22"/>
                <w:szCs w:val="22"/>
                <w:lang w:bidi="ar"/>
              </w:rPr>
            </w:pPr>
            <w:r>
              <w:rPr>
                <w:rFonts w:hint="eastAsia" w:ascii="宋体" w:hAnsi="宋体" w:cs="宋体"/>
                <w:sz w:val="22"/>
                <w:szCs w:val="22"/>
                <w:lang w:bidi="ar"/>
              </w:rPr>
              <w:t>方案包含以上三点内容，得3分，方案未包含以上任何一条内容，不得分。</w:t>
            </w:r>
          </w:p>
          <w:p>
            <w:pPr>
              <w:pStyle w:val="69"/>
              <w:spacing w:line="360" w:lineRule="auto"/>
              <w:rPr>
                <w:rFonts w:ascii="宋体" w:hAnsi="宋体" w:cs="宋体"/>
                <w:sz w:val="22"/>
                <w:szCs w:val="22"/>
                <w:lang w:bidi="ar"/>
              </w:rPr>
            </w:pPr>
            <w:r>
              <w:rPr>
                <w:rFonts w:hint="eastAsia" w:ascii="宋体" w:hAnsi="宋体" w:cs="宋体"/>
                <w:sz w:val="22"/>
                <w:szCs w:val="22"/>
                <w:lang w:bidi="ar"/>
              </w:rPr>
              <w:t>在上述服务方案的基础上，根据方案内容进一步评审。</w:t>
            </w:r>
          </w:p>
          <w:p>
            <w:pPr>
              <w:pStyle w:val="69"/>
              <w:spacing w:line="360" w:lineRule="auto"/>
              <w:rPr>
                <w:rFonts w:ascii="宋体" w:hAnsi="宋体" w:cs="宋体"/>
                <w:sz w:val="22"/>
                <w:szCs w:val="22"/>
                <w:lang w:bidi="ar"/>
              </w:rPr>
            </w:pPr>
            <w:r>
              <w:rPr>
                <w:rFonts w:hint="eastAsia" w:ascii="宋体" w:hAnsi="宋体" w:cs="宋体"/>
                <w:sz w:val="22"/>
                <w:szCs w:val="22"/>
                <w:lang w:bidi="ar"/>
              </w:rPr>
              <w:t>（1）出行服务方案详细且针对性强，详细说明服务车辆配备情况，对人员安全详细阐述保障方案、应急服务保障和处理流程可行性高，加12分；</w:t>
            </w:r>
          </w:p>
          <w:p>
            <w:pPr>
              <w:pStyle w:val="69"/>
              <w:spacing w:line="360" w:lineRule="auto"/>
              <w:rPr>
                <w:rFonts w:ascii="宋体" w:hAnsi="宋体" w:cs="宋体"/>
                <w:sz w:val="22"/>
                <w:szCs w:val="22"/>
                <w:lang w:bidi="ar"/>
              </w:rPr>
            </w:pPr>
            <w:r>
              <w:rPr>
                <w:rFonts w:hint="eastAsia" w:ascii="宋体" w:hAnsi="宋体" w:cs="宋体"/>
                <w:sz w:val="22"/>
                <w:szCs w:val="22"/>
                <w:lang w:bidi="ar"/>
              </w:rPr>
              <w:t>（2）出行服务方案针对性较好，简单说明服务车辆配备情况及人员安全保障方案，应急服务保障和处理流程可行性较好，加7分；</w:t>
            </w:r>
          </w:p>
          <w:p>
            <w:pPr>
              <w:pStyle w:val="69"/>
              <w:spacing w:line="360" w:lineRule="auto"/>
              <w:rPr>
                <w:rFonts w:ascii="宋体" w:hAnsi="宋体" w:cs="宋体"/>
                <w:sz w:val="22"/>
                <w:szCs w:val="22"/>
                <w:lang w:bidi="ar"/>
              </w:rPr>
            </w:pPr>
            <w:r>
              <w:rPr>
                <w:rFonts w:hint="eastAsia" w:ascii="宋体" w:hAnsi="宋体" w:cs="宋体"/>
                <w:sz w:val="22"/>
                <w:szCs w:val="22"/>
                <w:lang w:bidi="ar"/>
              </w:rPr>
              <w:t>（3）出行服务方案针对性一般，简单说明服务车辆配备情况，应急服务保障和处理流程可行性一般，加2分；</w:t>
            </w:r>
          </w:p>
          <w:p>
            <w:pPr>
              <w:pStyle w:val="69"/>
              <w:spacing w:line="360" w:lineRule="auto"/>
              <w:rPr>
                <w:rFonts w:ascii="宋体" w:hAnsi="宋体" w:cs="宋体"/>
                <w:sz w:val="22"/>
                <w:szCs w:val="22"/>
              </w:rPr>
            </w:pPr>
            <w:r>
              <w:rPr>
                <w:rFonts w:hint="eastAsia" w:ascii="宋体" w:hAnsi="宋体" w:cs="宋体"/>
                <w:sz w:val="22"/>
                <w:szCs w:val="22"/>
                <w:lang w:bidi="ar"/>
              </w:rPr>
              <w:t>（4）出行服务方案针对性差的，或未提供方案的不加分。</w:t>
            </w:r>
          </w:p>
        </w:tc>
        <w:tc>
          <w:tcPr>
            <w:tcW w:w="975" w:type="dxa"/>
            <w:vAlign w:val="center"/>
          </w:tcPr>
          <w:p>
            <w:pPr>
              <w:spacing w:line="360" w:lineRule="auto"/>
              <w:jc w:val="center"/>
              <w:rPr>
                <w:rFonts w:ascii="宋体" w:hAnsi="宋体" w:cs="宋体"/>
                <w:bCs/>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741" w:type="dxa"/>
            <w:vAlign w:val="center"/>
          </w:tcPr>
          <w:p>
            <w:pPr>
              <w:pStyle w:val="9"/>
              <w:spacing w:line="360" w:lineRule="auto"/>
              <w:jc w:val="center"/>
              <w:rPr>
                <w:rFonts w:ascii="宋体" w:hAnsi="宋体" w:cs="宋体"/>
                <w:bCs/>
                <w:sz w:val="22"/>
              </w:rPr>
            </w:pPr>
            <w:r>
              <w:rPr>
                <w:rFonts w:hint="eastAsia" w:ascii="宋体" w:hAnsi="宋体" w:cs="宋体"/>
                <w:bCs/>
                <w:sz w:val="22"/>
              </w:rPr>
              <w:t>4</w:t>
            </w:r>
          </w:p>
        </w:tc>
        <w:tc>
          <w:tcPr>
            <w:tcW w:w="1305" w:type="dxa"/>
            <w:vAlign w:val="center"/>
          </w:tcPr>
          <w:p>
            <w:pPr>
              <w:spacing w:line="360" w:lineRule="auto"/>
              <w:ind w:firstLine="28"/>
              <w:jc w:val="center"/>
              <w:rPr>
                <w:rFonts w:ascii="宋体" w:hAnsi="宋体" w:cs="宋体"/>
                <w:bCs/>
                <w:sz w:val="22"/>
              </w:rPr>
            </w:pPr>
            <w:r>
              <w:rPr>
                <w:rFonts w:hint="eastAsia" w:ascii="宋体" w:hAnsi="宋体" w:cs="宋体"/>
                <w:bCs/>
                <w:sz w:val="22"/>
              </w:rPr>
              <w:t>售后及投诉处理方案</w:t>
            </w:r>
          </w:p>
        </w:tc>
        <w:tc>
          <w:tcPr>
            <w:tcW w:w="810" w:type="dxa"/>
            <w:vAlign w:val="center"/>
          </w:tcPr>
          <w:p>
            <w:pPr>
              <w:spacing w:line="360" w:lineRule="auto"/>
              <w:ind w:firstLine="28"/>
              <w:jc w:val="center"/>
              <w:rPr>
                <w:rFonts w:ascii="宋体" w:hAnsi="宋体" w:cs="宋体"/>
                <w:bCs/>
                <w:sz w:val="22"/>
              </w:rPr>
            </w:pPr>
            <w:r>
              <w:rPr>
                <w:rFonts w:hint="eastAsia" w:ascii="宋体" w:hAnsi="宋体" w:cs="宋体"/>
                <w:bCs/>
                <w:sz w:val="22"/>
              </w:rPr>
              <w:t>10分</w:t>
            </w:r>
          </w:p>
        </w:tc>
        <w:tc>
          <w:tcPr>
            <w:tcW w:w="5820" w:type="dxa"/>
            <w:vAlign w:val="center"/>
          </w:tcPr>
          <w:p>
            <w:pPr>
              <w:pStyle w:val="9"/>
              <w:spacing w:line="360" w:lineRule="auto"/>
              <w:ind w:firstLine="220" w:firstLineChars="100"/>
              <w:jc w:val="both"/>
              <w:rPr>
                <w:rFonts w:ascii="宋体" w:hAnsi="宋体" w:cs="宋体"/>
                <w:bCs/>
                <w:sz w:val="22"/>
              </w:rPr>
            </w:pPr>
            <w:r>
              <w:rPr>
                <w:rFonts w:hint="eastAsia" w:ascii="宋体" w:hAnsi="宋体" w:cs="宋体"/>
                <w:bCs/>
                <w:sz w:val="22"/>
              </w:rPr>
              <w:t>（一）评审内容（投标文件中详细说明售后服务流程、服务承诺、服务时效、应急预案、投诉处理等进行承诺，根据响应情况进行评审）：</w:t>
            </w:r>
          </w:p>
          <w:p>
            <w:pPr>
              <w:pStyle w:val="9"/>
              <w:spacing w:line="360" w:lineRule="auto"/>
              <w:ind w:firstLine="220" w:firstLineChars="100"/>
              <w:jc w:val="both"/>
              <w:rPr>
                <w:rFonts w:ascii="宋体" w:hAnsi="宋体" w:cs="宋体"/>
                <w:bCs/>
                <w:sz w:val="22"/>
              </w:rPr>
            </w:pPr>
            <w:r>
              <w:rPr>
                <w:rFonts w:hint="eastAsia" w:ascii="宋体" w:hAnsi="宋体" w:cs="宋体"/>
                <w:bCs/>
                <w:sz w:val="22"/>
              </w:rPr>
              <w:t>（1）提供投诉处理流程；</w:t>
            </w:r>
          </w:p>
          <w:p>
            <w:pPr>
              <w:pStyle w:val="9"/>
              <w:spacing w:line="360" w:lineRule="auto"/>
              <w:ind w:firstLine="220" w:firstLineChars="100"/>
              <w:jc w:val="both"/>
              <w:rPr>
                <w:rFonts w:ascii="宋体" w:hAnsi="宋体" w:cs="宋体"/>
                <w:bCs/>
                <w:sz w:val="22"/>
              </w:rPr>
            </w:pPr>
            <w:r>
              <w:rPr>
                <w:rFonts w:hint="eastAsia" w:ascii="宋体" w:hAnsi="宋体" w:cs="宋体"/>
                <w:bCs/>
                <w:sz w:val="22"/>
              </w:rPr>
              <w:t>（2）提供投诉处理电话</w:t>
            </w:r>
          </w:p>
          <w:p>
            <w:pPr>
              <w:pStyle w:val="9"/>
              <w:spacing w:line="360" w:lineRule="auto"/>
              <w:ind w:firstLine="220" w:firstLineChars="100"/>
              <w:jc w:val="both"/>
              <w:rPr>
                <w:rFonts w:ascii="宋体" w:hAnsi="宋体" w:cs="宋体"/>
                <w:bCs/>
                <w:sz w:val="22"/>
              </w:rPr>
            </w:pPr>
            <w:r>
              <w:rPr>
                <w:rFonts w:hint="eastAsia" w:ascii="宋体" w:hAnsi="宋体" w:cs="宋体"/>
                <w:bCs/>
                <w:sz w:val="22"/>
              </w:rPr>
              <w:t>（3）配备专属售后投诉对接人员；</w:t>
            </w:r>
          </w:p>
          <w:p>
            <w:pPr>
              <w:pStyle w:val="9"/>
              <w:spacing w:line="360" w:lineRule="auto"/>
              <w:ind w:firstLine="220" w:firstLineChars="100"/>
              <w:jc w:val="both"/>
              <w:rPr>
                <w:rFonts w:ascii="宋体" w:hAnsi="宋体" w:cs="宋体"/>
                <w:bCs/>
                <w:sz w:val="22"/>
              </w:rPr>
            </w:pPr>
            <w:r>
              <w:rPr>
                <w:rFonts w:hint="eastAsia" w:ascii="宋体" w:hAnsi="宋体" w:cs="宋体"/>
                <w:bCs/>
                <w:sz w:val="22"/>
              </w:rPr>
              <w:t>（4）提供投诉处理方案并承诺于3个工作日内妥善解决投诉事项；</w:t>
            </w:r>
          </w:p>
          <w:p>
            <w:pPr>
              <w:pStyle w:val="9"/>
              <w:spacing w:line="360" w:lineRule="auto"/>
              <w:ind w:firstLine="220" w:firstLineChars="100"/>
              <w:jc w:val="both"/>
              <w:rPr>
                <w:rFonts w:ascii="宋体" w:hAnsi="宋体" w:cs="宋体"/>
                <w:bCs/>
                <w:sz w:val="22"/>
              </w:rPr>
            </w:pPr>
            <w:r>
              <w:rPr>
                <w:rFonts w:hint="eastAsia" w:ascii="宋体" w:hAnsi="宋体" w:cs="宋体"/>
                <w:bCs/>
                <w:sz w:val="22"/>
              </w:rPr>
              <w:t>（二）评分细则：</w:t>
            </w:r>
          </w:p>
          <w:p>
            <w:pPr>
              <w:pStyle w:val="9"/>
              <w:spacing w:line="360" w:lineRule="auto"/>
              <w:ind w:firstLine="220" w:firstLineChars="100"/>
              <w:jc w:val="both"/>
              <w:rPr>
                <w:rFonts w:ascii="宋体" w:hAnsi="宋体" w:cs="宋体"/>
                <w:bCs/>
                <w:sz w:val="22"/>
              </w:rPr>
            </w:pPr>
            <w:r>
              <w:rPr>
                <w:rFonts w:hint="eastAsia" w:ascii="宋体" w:hAnsi="宋体" w:cs="宋体"/>
                <w:bCs/>
                <w:sz w:val="22"/>
              </w:rPr>
              <w:t>方案包含以上任意一项内容的得1分，最多4分。未提供不得分。</w:t>
            </w:r>
          </w:p>
          <w:p>
            <w:pPr>
              <w:pStyle w:val="9"/>
              <w:spacing w:line="360" w:lineRule="auto"/>
              <w:ind w:firstLine="220" w:firstLineChars="100"/>
              <w:jc w:val="both"/>
              <w:rPr>
                <w:rFonts w:ascii="宋体" w:hAnsi="宋体" w:cs="宋体"/>
                <w:bCs/>
                <w:sz w:val="22"/>
              </w:rPr>
            </w:pPr>
            <w:r>
              <w:rPr>
                <w:rFonts w:hint="eastAsia" w:ascii="宋体" w:hAnsi="宋体" w:cs="宋体"/>
                <w:bCs/>
                <w:sz w:val="22"/>
              </w:rPr>
              <w:t>在上述服务方案的基础上，根据方案内容进一步评审。</w:t>
            </w:r>
          </w:p>
          <w:p>
            <w:pPr>
              <w:pStyle w:val="9"/>
              <w:spacing w:line="360" w:lineRule="auto"/>
              <w:ind w:firstLine="220" w:firstLineChars="100"/>
              <w:jc w:val="both"/>
              <w:rPr>
                <w:rFonts w:ascii="宋体" w:hAnsi="宋体" w:cs="宋体"/>
                <w:bCs/>
                <w:sz w:val="22"/>
              </w:rPr>
            </w:pPr>
            <w:r>
              <w:rPr>
                <w:rFonts w:hint="eastAsia" w:ascii="宋体" w:hAnsi="宋体" w:cs="宋体"/>
                <w:bCs/>
                <w:sz w:val="22"/>
              </w:rPr>
              <w:t>（1）方案全面、具体，可行性高，加6分；</w:t>
            </w:r>
          </w:p>
          <w:p>
            <w:pPr>
              <w:pStyle w:val="9"/>
              <w:spacing w:line="360" w:lineRule="auto"/>
              <w:ind w:firstLine="220" w:firstLineChars="100"/>
              <w:jc w:val="both"/>
              <w:rPr>
                <w:rFonts w:ascii="宋体" w:hAnsi="宋体" w:cs="宋体"/>
                <w:bCs/>
                <w:sz w:val="22"/>
              </w:rPr>
            </w:pPr>
            <w:r>
              <w:rPr>
                <w:rFonts w:hint="eastAsia" w:ascii="宋体" w:hAnsi="宋体" w:cs="宋体"/>
                <w:bCs/>
                <w:sz w:val="22"/>
              </w:rPr>
              <w:t>（2）方案较全面，可行性较高，加4分；</w:t>
            </w:r>
          </w:p>
          <w:p>
            <w:pPr>
              <w:pStyle w:val="9"/>
              <w:spacing w:line="360" w:lineRule="auto"/>
              <w:ind w:firstLine="220" w:firstLineChars="100"/>
              <w:jc w:val="both"/>
              <w:rPr>
                <w:rFonts w:ascii="宋体" w:hAnsi="宋体" w:cs="宋体"/>
                <w:bCs/>
                <w:sz w:val="22"/>
              </w:rPr>
            </w:pPr>
            <w:r>
              <w:rPr>
                <w:rFonts w:hint="eastAsia" w:ascii="宋体" w:hAnsi="宋体" w:cs="宋体"/>
                <w:bCs/>
                <w:sz w:val="22"/>
              </w:rPr>
              <w:t>（3）方案全面性、可行性一般，加2分；</w:t>
            </w:r>
          </w:p>
          <w:p>
            <w:pPr>
              <w:pStyle w:val="9"/>
              <w:spacing w:line="360" w:lineRule="auto"/>
              <w:ind w:firstLine="220" w:firstLineChars="100"/>
              <w:jc w:val="both"/>
              <w:rPr>
                <w:rFonts w:ascii="宋体" w:hAnsi="宋体" w:cs="宋体"/>
                <w:bCs/>
                <w:sz w:val="22"/>
              </w:rPr>
            </w:pPr>
            <w:r>
              <w:rPr>
                <w:rFonts w:hint="eastAsia" w:ascii="宋体" w:hAnsi="宋体" w:cs="宋体"/>
                <w:bCs/>
                <w:sz w:val="22"/>
              </w:rPr>
              <w:t>（4）方案不全，可行性低，不加分；</w:t>
            </w:r>
          </w:p>
        </w:tc>
        <w:tc>
          <w:tcPr>
            <w:tcW w:w="975" w:type="dxa"/>
            <w:vAlign w:val="center"/>
          </w:tcPr>
          <w:p>
            <w:pPr>
              <w:spacing w:line="360" w:lineRule="auto"/>
              <w:jc w:val="center"/>
              <w:rPr>
                <w:rFonts w:ascii="宋体" w:hAnsi="宋体" w:cs="宋体"/>
                <w:bCs/>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1" w:type="dxa"/>
            <w:vAlign w:val="center"/>
          </w:tcPr>
          <w:p>
            <w:pPr>
              <w:pStyle w:val="9"/>
              <w:spacing w:line="360" w:lineRule="auto"/>
              <w:jc w:val="center"/>
              <w:rPr>
                <w:rFonts w:ascii="宋体" w:hAnsi="宋体" w:cs="宋体"/>
                <w:bCs/>
                <w:sz w:val="22"/>
              </w:rPr>
            </w:pPr>
            <w:r>
              <w:rPr>
                <w:rFonts w:hint="eastAsia" w:ascii="宋体" w:hAnsi="宋体" w:cs="宋体"/>
                <w:bCs/>
                <w:sz w:val="22"/>
              </w:rPr>
              <w:t>5</w:t>
            </w:r>
          </w:p>
        </w:tc>
        <w:tc>
          <w:tcPr>
            <w:tcW w:w="1305" w:type="dxa"/>
            <w:vAlign w:val="center"/>
          </w:tcPr>
          <w:p>
            <w:pPr>
              <w:spacing w:line="360" w:lineRule="auto"/>
              <w:ind w:firstLine="28"/>
              <w:jc w:val="center"/>
              <w:rPr>
                <w:rFonts w:ascii="宋体" w:hAnsi="宋体" w:cs="宋体"/>
                <w:bCs/>
                <w:sz w:val="22"/>
              </w:rPr>
            </w:pPr>
            <w:r>
              <w:rPr>
                <w:rFonts w:hint="eastAsia" w:ascii="宋体" w:hAnsi="宋体" w:cs="宋体"/>
                <w:bCs/>
                <w:sz w:val="22"/>
              </w:rPr>
              <w:t>同类项目业绩情况</w:t>
            </w:r>
          </w:p>
        </w:tc>
        <w:tc>
          <w:tcPr>
            <w:tcW w:w="810" w:type="dxa"/>
            <w:vAlign w:val="center"/>
          </w:tcPr>
          <w:p>
            <w:pPr>
              <w:spacing w:line="360" w:lineRule="auto"/>
              <w:ind w:firstLine="28"/>
              <w:jc w:val="center"/>
              <w:rPr>
                <w:rFonts w:ascii="宋体" w:hAnsi="宋体" w:cs="宋体"/>
                <w:bCs/>
                <w:sz w:val="22"/>
              </w:rPr>
            </w:pPr>
            <w:r>
              <w:rPr>
                <w:rFonts w:hint="eastAsia" w:ascii="宋体" w:hAnsi="宋体" w:cs="宋体"/>
                <w:bCs/>
                <w:sz w:val="22"/>
              </w:rPr>
              <w:t>1</w:t>
            </w:r>
            <w:r>
              <w:rPr>
                <w:rFonts w:ascii="宋体" w:hAnsi="宋体" w:cs="宋体"/>
                <w:bCs/>
                <w:sz w:val="22"/>
              </w:rPr>
              <w:t>5</w:t>
            </w:r>
            <w:r>
              <w:rPr>
                <w:rFonts w:hint="eastAsia" w:ascii="宋体" w:hAnsi="宋体" w:cs="宋体"/>
                <w:bCs/>
                <w:sz w:val="22"/>
              </w:rPr>
              <w:t>分</w:t>
            </w:r>
          </w:p>
        </w:tc>
        <w:tc>
          <w:tcPr>
            <w:tcW w:w="5820" w:type="dxa"/>
            <w:vAlign w:val="center"/>
          </w:tcPr>
          <w:p>
            <w:pPr>
              <w:pStyle w:val="9"/>
              <w:spacing w:line="360" w:lineRule="auto"/>
              <w:ind w:firstLine="220" w:firstLineChars="100"/>
              <w:jc w:val="both"/>
              <w:rPr>
                <w:rFonts w:ascii="宋体" w:hAnsi="宋体" w:cs="宋体"/>
                <w:bCs/>
                <w:sz w:val="22"/>
              </w:rPr>
            </w:pPr>
            <w:r>
              <w:rPr>
                <w:rFonts w:hint="eastAsia" w:ascii="宋体" w:hAnsi="宋体" w:cs="宋体"/>
                <w:bCs/>
                <w:sz w:val="22"/>
              </w:rPr>
              <w:t>（一）评分内容：</w:t>
            </w:r>
          </w:p>
          <w:p>
            <w:pPr>
              <w:pStyle w:val="9"/>
              <w:spacing w:line="360" w:lineRule="auto"/>
              <w:ind w:firstLine="220" w:firstLineChars="100"/>
              <w:jc w:val="both"/>
              <w:rPr>
                <w:rFonts w:ascii="宋体" w:hAnsi="宋体" w:cs="宋体"/>
                <w:bCs/>
                <w:sz w:val="22"/>
              </w:rPr>
            </w:pPr>
            <w:r>
              <w:rPr>
                <w:rFonts w:hint="eastAsia" w:ascii="宋体" w:hAnsi="宋体" w:cs="宋体"/>
                <w:bCs/>
                <w:sz w:val="22"/>
              </w:rPr>
              <w:t>本项目投标截止日近三年内（以合同签订日期或合同中载明的履约起始日期为准），投标人具有同类项目业绩的（政府部门或</w:t>
            </w:r>
            <w:r>
              <w:rPr>
                <w:rFonts w:hint="eastAsia" w:ascii="宋体" w:hAnsi="宋体" w:cs="宋体"/>
                <w:bCs/>
                <w:sz w:val="22"/>
                <w:lang w:eastAsia="zh-CN"/>
              </w:rPr>
              <w:t>学校</w:t>
            </w:r>
            <w:bookmarkStart w:id="91" w:name="_GoBack"/>
            <w:bookmarkEnd w:id="91"/>
            <w:r>
              <w:rPr>
                <w:rFonts w:hint="eastAsia" w:ascii="宋体" w:hAnsi="宋体" w:cs="宋体"/>
                <w:bCs/>
                <w:sz w:val="22"/>
              </w:rPr>
              <w:t>等单位出行活动的）；每个有效业绩得</w:t>
            </w:r>
            <w:r>
              <w:rPr>
                <w:rFonts w:ascii="宋体" w:hAnsi="宋体" w:cs="宋体"/>
                <w:bCs/>
                <w:sz w:val="22"/>
              </w:rPr>
              <w:t>5</w:t>
            </w:r>
            <w:r>
              <w:rPr>
                <w:rFonts w:hint="eastAsia" w:ascii="宋体" w:hAnsi="宋体" w:cs="宋体"/>
                <w:bCs/>
                <w:sz w:val="22"/>
              </w:rPr>
              <w:t>分，最高分为1</w:t>
            </w:r>
            <w:r>
              <w:rPr>
                <w:rFonts w:ascii="宋体" w:hAnsi="宋体" w:cs="宋体"/>
                <w:bCs/>
                <w:sz w:val="22"/>
              </w:rPr>
              <w:t>5</w:t>
            </w:r>
            <w:r>
              <w:rPr>
                <w:rFonts w:hint="eastAsia" w:ascii="宋体" w:hAnsi="宋体" w:cs="宋体"/>
                <w:bCs/>
                <w:sz w:val="22"/>
              </w:rPr>
              <w:t>分。</w:t>
            </w:r>
          </w:p>
          <w:p>
            <w:pPr>
              <w:pStyle w:val="9"/>
              <w:spacing w:line="360" w:lineRule="auto"/>
              <w:ind w:firstLine="220" w:firstLineChars="100"/>
              <w:jc w:val="both"/>
              <w:rPr>
                <w:rFonts w:ascii="宋体" w:hAnsi="宋体" w:cs="宋体"/>
                <w:bCs/>
                <w:sz w:val="22"/>
              </w:rPr>
            </w:pPr>
            <w:r>
              <w:rPr>
                <w:rFonts w:hint="eastAsia" w:ascii="宋体" w:hAnsi="宋体" w:cs="宋体"/>
                <w:bCs/>
                <w:sz w:val="22"/>
              </w:rPr>
              <w:t>同一项目续签合同的不可重复得分。</w:t>
            </w:r>
          </w:p>
          <w:p>
            <w:pPr>
              <w:pStyle w:val="9"/>
              <w:spacing w:line="360" w:lineRule="auto"/>
              <w:ind w:firstLine="220" w:firstLineChars="100"/>
              <w:jc w:val="both"/>
              <w:rPr>
                <w:rFonts w:ascii="宋体" w:hAnsi="宋体" w:cs="宋体"/>
                <w:bCs/>
                <w:sz w:val="22"/>
              </w:rPr>
            </w:pPr>
            <w:r>
              <w:rPr>
                <w:rFonts w:hint="eastAsia" w:ascii="宋体" w:hAnsi="宋体" w:cs="宋体"/>
                <w:bCs/>
                <w:sz w:val="22"/>
              </w:rPr>
              <w:t>（二）评分依据：</w:t>
            </w:r>
          </w:p>
          <w:p>
            <w:pPr>
              <w:pStyle w:val="9"/>
              <w:spacing w:line="360" w:lineRule="auto"/>
              <w:ind w:firstLine="220" w:firstLineChars="100"/>
              <w:jc w:val="both"/>
              <w:rPr>
                <w:rFonts w:ascii="宋体" w:hAnsi="宋体" w:cs="宋体"/>
                <w:bCs/>
                <w:sz w:val="22"/>
              </w:rPr>
            </w:pPr>
            <w:r>
              <w:rPr>
                <w:rFonts w:hint="eastAsia" w:ascii="宋体" w:hAnsi="宋体" w:cs="宋体"/>
                <w:bCs/>
                <w:sz w:val="22"/>
              </w:rPr>
              <w:t>1. 提供合同关键页（关键信息包括但不仅限于合同的项目名称、服务内容、合同服务期限、甲乙双方签字盖章页）且提供的材料各项信息不得有任何遮挡；</w:t>
            </w:r>
          </w:p>
          <w:p>
            <w:pPr>
              <w:pStyle w:val="9"/>
              <w:spacing w:line="360" w:lineRule="auto"/>
              <w:ind w:firstLine="220" w:firstLineChars="100"/>
              <w:jc w:val="both"/>
              <w:rPr>
                <w:rFonts w:ascii="宋体" w:hAnsi="宋体" w:cs="宋体"/>
                <w:bCs/>
                <w:sz w:val="22"/>
              </w:rPr>
            </w:pPr>
            <w:r>
              <w:rPr>
                <w:rFonts w:hint="eastAsia" w:ascii="宋体" w:hAnsi="宋体" w:cs="宋体"/>
                <w:bCs/>
                <w:sz w:val="22"/>
              </w:rPr>
              <w:t>2. 通过合同关键信息无法判断是否得分的，还需提供能证明得分的其它证明资料，如项目报告或合同甲方出具的证明文件</w:t>
            </w:r>
          </w:p>
        </w:tc>
        <w:tc>
          <w:tcPr>
            <w:tcW w:w="975" w:type="dxa"/>
            <w:vAlign w:val="center"/>
          </w:tcPr>
          <w:p>
            <w:pPr>
              <w:spacing w:line="360" w:lineRule="auto"/>
              <w:jc w:val="center"/>
              <w:rPr>
                <w:rFonts w:ascii="宋体" w:hAnsi="宋体" w:cs="宋体"/>
                <w:bCs/>
                <w:sz w:val="22"/>
              </w:rPr>
            </w:pPr>
          </w:p>
        </w:tc>
      </w:tr>
    </w:tbl>
    <w:p>
      <w:pPr>
        <w:spacing w:line="360" w:lineRule="auto"/>
        <w:ind w:right="1123"/>
        <w:rPr>
          <w:rFonts w:ascii="微软雅黑" w:hAnsi="微软雅黑" w:eastAsia="微软雅黑" w:cs="微软雅黑"/>
          <w:sz w:val="32"/>
          <w:szCs w:val="32"/>
        </w:rPr>
      </w:pPr>
    </w:p>
    <w:p>
      <w:pPr>
        <w:numPr>
          <w:ilvl w:val="0"/>
          <w:numId w:val="4"/>
        </w:numPr>
        <w:spacing w:line="360" w:lineRule="auto"/>
        <w:ind w:right="1123"/>
        <w:rPr>
          <w:rFonts w:ascii="微软雅黑" w:hAnsi="微软雅黑" w:eastAsia="微软雅黑" w:cs="微软雅黑"/>
          <w:sz w:val="32"/>
          <w:szCs w:val="32"/>
        </w:rPr>
      </w:pPr>
      <w:r>
        <w:rPr>
          <w:rFonts w:hint="eastAsia" w:ascii="微软雅黑" w:hAnsi="微软雅黑" w:eastAsia="微软雅黑" w:cs="微软雅黑"/>
          <w:sz w:val="32"/>
          <w:szCs w:val="32"/>
        </w:rPr>
        <w:t>付款方式：</w:t>
      </w:r>
    </w:p>
    <w:p>
      <w:pPr>
        <w:spacing w:line="360" w:lineRule="auto"/>
        <w:ind w:firstLine="480" w:firstLineChars="200"/>
        <w:rPr>
          <w:rFonts w:ascii="宋体" w:hAnsi="宋体" w:cs="宋体"/>
          <w:sz w:val="24"/>
        </w:rPr>
      </w:pPr>
      <w:r>
        <w:rPr>
          <w:rFonts w:hint="eastAsia" w:ascii="宋体" w:hAnsi="宋体" w:cs="宋体"/>
          <w:sz w:val="24"/>
        </w:rPr>
        <w:t>（1）甲方确认发票后30个工作日内支付给乙方。</w:t>
      </w:r>
    </w:p>
    <w:p>
      <w:pPr>
        <w:spacing w:line="360" w:lineRule="auto"/>
        <w:ind w:firstLine="480" w:firstLineChars="200"/>
        <w:rPr>
          <w:rFonts w:ascii="宋体" w:hAnsi="宋体" w:cs="宋体"/>
          <w:sz w:val="24"/>
        </w:rPr>
      </w:pPr>
      <w:r>
        <w:rPr>
          <w:rFonts w:hint="eastAsia" w:ascii="宋体" w:hAnsi="宋体" w:cs="宋体"/>
          <w:sz w:val="24"/>
        </w:rPr>
        <w:t>（2）乙方须向甲方提供合法有效的等额有效发票及账户信息。</w:t>
      </w:r>
    </w:p>
    <w:p>
      <w:pPr>
        <w:spacing w:line="360" w:lineRule="auto"/>
        <w:ind w:right="1123"/>
        <w:rPr>
          <w:rFonts w:ascii="微软雅黑" w:hAnsi="微软雅黑" w:eastAsia="微软雅黑" w:cs="微软雅黑"/>
          <w:sz w:val="32"/>
          <w:szCs w:val="32"/>
        </w:rPr>
      </w:pPr>
    </w:p>
    <w:p>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2" w:name="_Toc183682342"/>
      <w:bookmarkStart w:id="13" w:name="_Toc183582205"/>
      <w:bookmarkStart w:id="14" w:name="_Toc217446034"/>
      <w:bookmarkStart w:id="15" w:name="PO_默认文件内容_24"/>
      <w:r>
        <w:rPr>
          <w:rFonts w:hint="eastAsia" w:ascii="仿宋_GB2312" w:hAnsi="仿宋_GB2312" w:eastAsia="仿宋_GB2312" w:cs="仿宋_GB2312"/>
          <w:sz w:val="24"/>
          <w:szCs w:val="24"/>
        </w:rPr>
        <w:t>1.</w:t>
      </w:r>
      <w:bookmarkEnd w:id="12"/>
      <w:bookmarkEnd w:id="13"/>
      <w:r>
        <w:rPr>
          <w:rFonts w:hint="eastAsia" w:ascii="仿宋_GB2312" w:hAnsi="仿宋_GB2312" w:eastAsia="仿宋_GB2312" w:cs="仿宋_GB2312"/>
          <w:sz w:val="24"/>
          <w:szCs w:val="24"/>
        </w:rPr>
        <w:t xml:space="preserve"> 适用范围</w:t>
      </w:r>
      <w:bookmarkEnd w:id="14"/>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6" w:name="_Toc217446035"/>
      <w:bookmarkStart w:id="17" w:name="_Toc183582206"/>
      <w:bookmarkStart w:id="18" w:name="_Toc183682343"/>
      <w:r>
        <w:rPr>
          <w:rFonts w:hint="eastAsia" w:ascii="仿宋_GB2312" w:hAnsi="仿宋_GB2312" w:eastAsia="仿宋_GB2312" w:cs="仿宋_GB2312"/>
          <w:bCs w:val="0"/>
          <w:sz w:val="24"/>
          <w:szCs w:val="24"/>
        </w:rPr>
        <w:t xml:space="preserve">2. </w:t>
      </w:r>
      <w:bookmarkEnd w:id="16"/>
      <w:bookmarkEnd w:id="17"/>
      <w:bookmarkEnd w:id="18"/>
      <w:r>
        <w:rPr>
          <w:rFonts w:hint="eastAsia" w:ascii="仿宋_GB2312" w:hAnsi="仿宋_GB2312" w:eastAsia="仿宋_GB2312" w:cs="仿宋_GB2312"/>
          <w:bCs w:val="0"/>
          <w:sz w:val="24"/>
          <w:szCs w:val="24"/>
        </w:rPr>
        <w:t>有关定义</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5"/>
      <w:r>
        <w:rPr>
          <w:rFonts w:hint="eastAsia" w:ascii="仿宋_GB2312" w:hAnsi="仿宋_GB2312" w:eastAsia="仿宋_GB2312" w:cs="仿宋_GB2312"/>
          <w:sz w:val="24"/>
        </w:rPr>
        <w:t>成都汽车职业技术学校。</w:t>
      </w:r>
    </w:p>
    <w:p>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9" w:name="PO_默认文件内容_35"/>
      <w:r>
        <w:rPr>
          <w:rFonts w:hint="eastAsia" w:ascii="仿宋_GB2312" w:hAnsi="仿宋_GB2312" w:eastAsia="仿宋_GB2312" w:cs="仿宋_GB2312"/>
          <w:sz w:val="24"/>
        </w:rPr>
        <w:t>2.2 “投标人”系指参加比选活动的投标人。</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0" w:name="_Toc217446036"/>
      <w:bookmarkStart w:id="21" w:name="_Toc183582207"/>
      <w:bookmarkStart w:id="22" w:name="_Toc183682344"/>
      <w:bookmarkStart w:id="23" w:name="_Toc217390843"/>
      <w:r>
        <w:rPr>
          <w:rFonts w:hint="eastAsia" w:ascii="仿宋_GB2312" w:hAnsi="仿宋_GB2312" w:eastAsia="仿宋_GB2312" w:cs="仿宋_GB2312"/>
          <w:sz w:val="24"/>
          <w:szCs w:val="24"/>
        </w:rPr>
        <w:t>3. 合格的</w:t>
      </w:r>
      <w:bookmarkEnd w:id="20"/>
      <w:bookmarkEnd w:id="21"/>
      <w:bookmarkEnd w:id="22"/>
      <w:bookmarkEnd w:id="23"/>
      <w:r>
        <w:rPr>
          <w:rFonts w:hint="eastAsia" w:ascii="仿宋_GB2312" w:hAnsi="仿宋_GB2312" w:eastAsia="仿宋_GB2312" w:cs="仿宋_GB2312"/>
          <w:sz w:val="24"/>
          <w:szCs w:val="24"/>
        </w:rPr>
        <w:t>投标人</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4" w:name="_Toc217446037"/>
      <w:bookmarkStart w:id="25" w:name="_Toc183682345"/>
      <w:bookmarkStart w:id="26" w:name="_Toc183582208"/>
      <w:r>
        <w:rPr>
          <w:rFonts w:hint="eastAsia" w:ascii="仿宋_GB2312" w:hAnsi="仿宋_GB2312" w:eastAsia="仿宋_GB2312" w:cs="仿宋_GB2312"/>
          <w:sz w:val="24"/>
          <w:szCs w:val="24"/>
        </w:rPr>
        <w:t>4. 比选费用</w:t>
      </w:r>
      <w:bookmarkEnd w:id="24"/>
      <w:bookmarkEnd w:id="25"/>
      <w:bookmarkEnd w:id="26"/>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pPr>
        <w:pStyle w:val="3"/>
        <w:spacing w:before="0" w:after="0" w:line="580" w:lineRule="exact"/>
        <w:contextualSpacing/>
        <w:jc w:val="center"/>
        <w:rPr>
          <w:rFonts w:ascii="仿宋_GB2312" w:hAnsi="仿宋_GB2312" w:eastAsia="仿宋_GB2312" w:cs="仿宋_GB2312"/>
          <w:b w:val="0"/>
          <w:bCs w:val="0"/>
        </w:rPr>
      </w:pPr>
      <w:bookmarkStart w:id="27" w:name="_Toc183582209"/>
      <w:bookmarkStart w:id="28" w:name="_Toc89075875"/>
      <w:bookmarkStart w:id="29" w:name="_Toc183682346"/>
      <w:bookmarkStart w:id="30" w:name="_Toc217446038"/>
      <w:bookmarkStart w:id="31" w:name="_Toc77400779"/>
      <w:r>
        <w:rPr>
          <w:rFonts w:hint="eastAsia" w:ascii="仿宋_GB2312" w:hAnsi="仿宋_GB2312" w:eastAsia="仿宋_GB2312" w:cs="仿宋_GB2312"/>
          <w:b w:val="0"/>
          <w:bCs w:val="0"/>
        </w:rPr>
        <w:t>三、</w:t>
      </w:r>
      <w:bookmarkEnd w:id="27"/>
      <w:bookmarkEnd w:id="28"/>
      <w:bookmarkEnd w:id="29"/>
      <w:bookmarkEnd w:id="30"/>
      <w:bookmarkEnd w:id="31"/>
      <w:r>
        <w:rPr>
          <w:rFonts w:hint="eastAsia" w:ascii="仿宋_GB2312" w:hAnsi="仿宋_GB2312" w:eastAsia="仿宋_GB2312" w:cs="仿宋_GB2312"/>
          <w:b w:val="0"/>
          <w:bCs w:val="0"/>
        </w:rPr>
        <w:t>比选文件</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2" w:name="_Toc217446039"/>
      <w:bookmarkStart w:id="33" w:name="_Toc183682347"/>
      <w:bookmarkStart w:id="34" w:name="_Toc183582210"/>
      <w:r>
        <w:rPr>
          <w:rFonts w:hint="eastAsia" w:ascii="仿宋_GB2312" w:hAnsi="仿宋_GB2312" w:eastAsia="仿宋_GB2312" w:cs="仿宋_GB2312"/>
          <w:sz w:val="24"/>
          <w:szCs w:val="24"/>
        </w:rPr>
        <w:t>6．比选文件的构成</w:t>
      </w:r>
      <w:bookmarkEnd w:id="32"/>
      <w:bookmarkEnd w:id="33"/>
      <w:bookmarkEnd w:id="34"/>
    </w:p>
    <w:p>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u w:val="single"/>
        </w:rPr>
        <w:t>成都汽车职业技术学校2024年教职工春游项目》</w:t>
      </w:r>
      <w:r>
        <w:rPr>
          <w:rFonts w:hint="eastAsia" w:ascii="仿宋_GB2312" w:hAnsi="仿宋_GB2312" w:eastAsia="仿宋_GB2312" w:cs="仿宋_GB2312"/>
          <w:kern w:val="0"/>
          <w:sz w:val="24"/>
        </w:rPr>
        <w:t>主要条款等。本比选文件包括以下内容：</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5" w:name="_Toc183682348"/>
      <w:bookmarkStart w:id="36" w:name="_Toc183582211"/>
      <w:bookmarkStart w:id="37" w:name="_Toc217446040"/>
    </w:p>
    <w:p>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5"/>
      <w:bookmarkEnd w:id="36"/>
      <w:r>
        <w:rPr>
          <w:rFonts w:hint="eastAsia" w:ascii="仿宋_GB2312" w:hAnsi="仿宋_GB2312" w:eastAsia="仿宋_GB2312" w:cs="仿宋_GB2312"/>
          <w:b/>
          <w:sz w:val="24"/>
        </w:rPr>
        <w:t>和修改</w:t>
      </w:r>
      <w:bookmarkEnd w:id="37"/>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pPr>
        <w:pStyle w:val="3"/>
        <w:spacing w:before="0" w:after="0" w:line="580" w:lineRule="exact"/>
        <w:contextualSpacing/>
        <w:jc w:val="center"/>
        <w:rPr>
          <w:rFonts w:ascii="仿宋_GB2312" w:hAnsi="仿宋_GB2312" w:eastAsia="仿宋_GB2312" w:cs="仿宋_GB2312"/>
          <w:b w:val="0"/>
          <w:bCs w:val="0"/>
        </w:rPr>
      </w:pPr>
      <w:bookmarkStart w:id="38" w:name="_Toc183582214"/>
      <w:bookmarkStart w:id="39" w:name="_Toc217446042"/>
      <w:bookmarkStart w:id="40" w:name="_Toc183682351"/>
      <w:bookmarkStart w:id="41" w:name="_Toc77400780"/>
      <w:bookmarkStart w:id="42" w:name="_Toc89075876"/>
      <w:r>
        <w:rPr>
          <w:rFonts w:hint="eastAsia" w:ascii="仿宋_GB2312" w:hAnsi="仿宋_GB2312" w:eastAsia="仿宋_GB2312" w:cs="仿宋_GB2312"/>
          <w:b w:val="0"/>
          <w:bCs w:val="0"/>
        </w:rPr>
        <w:t>四、投标文件</w:t>
      </w:r>
      <w:bookmarkEnd w:id="38"/>
      <w:bookmarkEnd w:id="39"/>
      <w:bookmarkEnd w:id="40"/>
      <w:bookmarkEnd w:id="41"/>
      <w:bookmarkEnd w:id="42"/>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3" w:name="_Toc308164798"/>
      <w:bookmarkStart w:id="44" w:name="_Toc217446048"/>
      <w:bookmarkStart w:id="45" w:name="_Toc183582217"/>
      <w:bookmarkStart w:id="46" w:name="_Toc183682354"/>
      <w:r>
        <w:rPr>
          <w:rFonts w:hint="eastAsia" w:ascii="仿宋_GB2312" w:hAnsi="仿宋_GB2312" w:eastAsia="仿宋_GB2312" w:cs="仿宋_GB2312"/>
          <w:sz w:val="24"/>
          <w:szCs w:val="24"/>
        </w:rPr>
        <w:t>8．投标文件的组成</w:t>
      </w:r>
      <w:bookmarkEnd w:id="43"/>
      <w:bookmarkEnd w:id="44"/>
      <w:bookmarkEnd w:id="45"/>
      <w:bookmarkEnd w:id="46"/>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7" w:name="_Toc183582218"/>
      <w:bookmarkStart w:id="48" w:name="_Toc308164799"/>
      <w:bookmarkStart w:id="49" w:name="_Toc217446049"/>
      <w:bookmarkStart w:id="50" w:name="_Toc183682355"/>
      <w:r>
        <w:rPr>
          <w:rFonts w:hint="eastAsia" w:ascii="仿宋_GB2312" w:hAnsi="仿宋_GB2312" w:eastAsia="仿宋_GB2312" w:cs="仿宋_GB2312"/>
          <w:sz w:val="24"/>
          <w:szCs w:val="24"/>
        </w:rPr>
        <w:t>9．投标文件格式</w:t>
      </w:r>
      <w:bookmarkEnd w:id="47"/>
      <w:bookmarkEnd w:id="48"/>
      <w:bookmarkEnd w:id="49"/>
      <w:bookmarkEnd w:id="50"/>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1" w:name="_Toc183682362"/>
      <w:bookmarkStart w:id="52" w:name="_Toc217446052"/>
      <w:bookmarkStart w:id="53" w:name="_Toc308164802"/>
      <w:bookmarkStart w:id="54" w:name="_Toc183582225"/>
      <w:r>
        <w:rPr>
          <w:rFonts w:hint="eastAsia" w:ascii="仿宋_GB2312" w:hAnsi="仿宋_GB2312" w:eastAsia="仿宋_GB2312" w:cs="仿宋_GB2312"/>
          <w:b/>
          <w:bCs/>
          <w:sz w:val="24"/>
        </w:rPr>
        <w:t>10．投标文件的印制和签署</w:t>
      </w:r>
      <w:bookmarkEnd w:id="51"/>
      <w:bookmarkEnd w:id="52"/>
      <w:bookmarkEnd w:id="53"/>
      <w:bookmarkEnd w:id="54"/>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5" w:name="_Toc183682363"/>
      <w:bookmarkStart w:id="56" w:name="_Toc77400781"/>
      <w:bookmarkStart w:id="57" w:name="_Toc183582226"/>
      <w:bookmarkStart w:id="58" w:name="_Toc89075877"/>
      <w:bookmarkStart w:id="59" w:name="_Toc308164803"/>
      <w:bookmarkStart w:id="60"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5"/>
      <w:bookmarkEnd w:id="56"/>
      <w:bookmarkEnd w:id="57"/>
      <w:bookmarkEnd w:id="58"/>
      <w:r>
        <w:rPr>
          <w:rFonts w:hint="eastAsia" w:ascii="仿宋_GB2312" w:hAnsi="仿宋_GB2312" w:eastAsia="仿宋_GB2312" w:cs="仿宋_GB2312"/>
          <w:sz w:val="24"/>
          <w:szCs w:val="24"/>
        </w:rPr>
        <w:t>注</w:t>
      </w:r>
      <w:bookmarkEnd w:id="59"/>
      <w:bookmarkEnd w:id="60"/>
    </w:p>
    <w:p>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1" w:name="_Toc183682364"/>
      <w:bookmarkStart w:id="62" w:name="_Toc183582227"/>
      <w:bookmarkStart w:id="63" w:name="_Toc217446054"/>
      <w:bookmarkStart w:id="64" w:name="_Toc308164804"/>
      <w:r>
        <w:rPr>
          <w:rFonts w:hint="eastAsia" w:ascii="仿宋_GB2312" w:hAnsi="仿宋_GB2312" w:eastAsia="仿宋_GB2312" w:cs="仿宋_GB2312"/>
          <w:sz w:val="24"/>
        </w:rPr>
        <w:t>本项目投标文件无需密封。</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1"/>
      <w:bookmarkEnd w:id="62"/>
      <w:r>
        <w:rPr>
          <w:rFonts w:hint="eastAsia" w:ascii="仿宋_GB2312" w:hAnsi="仿宋_GB2312" w:eastAsia="仿宋_GB2312" w:cs="仿宋_GB2312"/>
          <w:bCs w:val="0"/>
          <w:sz w:val="24"/>
          <w:szCs w:val="24"/>
        </w:rPr>
        <w:t>递交</w:t>
      </w:r>
      <w:bookmarkEnd w:id="63"/>
      <w:bookmarkEnd w:id="64"/>
    </w:p>
    <w:p>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5" w:name="_Toc183682365"/>
      <w:bookmarkStart w:id="66" w:name="_Toc183582228"/>
      <w:bookmarkStart w:id="67" w:name="_Toc217446055"/>
      <w:r>
        <w:rPr>
          <w:rFonts w:hint="eastAsia" w:ascii="仿宋_GB2312" w:hAnsi="仿宋_GB2312" w:eastAsia="仿宋_GB2312" w:cs="仿宋_GB2312"/>
          <w:bCs w:val="0"/>
          <w:sz w:val="24"/>
          <w:szCs w:val="24"/>
        </w:rPr>
        <w:t>13．投标文件的补充、修改或撤</w:t>
      </w:r>
      <w:bookmarkEnd w:id="65"/>
      <w:bookmarkEnd w:id="66"/>
      <w:r>
        <w:rPr>
          <w:rFonts w:hint="eastAsia" w:ascii="仿宋_GB2312" w:hAnsi="仿宋_GB2312" w:eastAsia="仿宋_GB2312" w:cs="仿宋_GB2312"/>
          <w:bCs w:val="0"/>
          <w:sz w:val="24"/>
          <w:szCs w:val="24"/>
        </w:rPr>
        <w:t>回</w:t>
      </w:r>
      <w:bookmarkEnd w:id="67"/>
    </w:p>
    <w:p>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pPr>
        <w:pStyle w:val="3"/>
        <w:spacing w:before="0" w:after="0" w:line="580" w:lineRule="exact"/>
        <w:contextualSpacing/>
        <w:jc w:val="center"/>
        <w:rPr>
          <w:rFonts w:ascii="仿宋_GB2312" w:hAnsi="仿宋_GB2312" w:eastAsia="仿宋_GB2312" w:cs="仿宋_GB2312"/>
          <w:b w:val="0"/>
          <w:bCs w:val="0"/>
        </w:rPr>
      </w:pPr>
      <w:bookmarkStart w:id="68" w:name="_Toc217446056"/>
      <w:bookmarkStart w:id="69" w:name="_Toc89075878"/>
      <w:bookmarkStart w:id="70" w:name="_Toc183682368"/>
      <w:bookmarkStart w:id="71" w:name="_Toc183582231"/>
      <w:bookmarkStart w:id="72" w:name="_Toc77400782"/>
      <w:bookmarkStart w:id="73" w:name="_Toc308164805"/>
      <w:r>
        <w:rPr>
          <w:rFonts w:hint="eastAsia" w:ascii="仿宋_GB2312" w:hAnsi="仿宋_GB2312" w:eastAsia="仿宋_GB2312" w:cs="仿宋_GB2312"/>
          <w:b w:val="0"/>
          <w:bCs w:val="0"/>
        </w:rPr>
        <w:t>五、</w:t>
      </w:r>
      <w:bookmarkEnd w:id="68"/>
      <w:bookmarkEnd w:id="69"/>
      <w:bookmarkEnd w:id="70"/>
      <w:bookmarkEnd w:id="71"/>
      <w:bookmarkEnd w:id="72"/>
      <w:bookmarkEnd w:id="73"/>
      <w:r>
        <w:rPr>
          <w:rFonts w:hint="eastAsia" w:ascii="仿宋_GB2312" w:hAnsi="仿宋_GB2312" w:eastAsia="仿宋_GB2312" w:cs="仿宋_GB2312"/>
          <w:b w:val="0"/>
          <w:bCs w:val="0"/>
        </w:rPr>
        <w:t>比选流程</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4" w:name="_Toc183582232"/>
      <w:bookmarkStart w:id="75" w:name="_Toc217446057"/>
      <w:bookmarkStart w:id="76" w:name="_Toc308164806"/>
      <w:bookmarkStart w:id="77" w:name="_Toc183682369"/>
      <w:r>
        <w:rPr>
          <w:rFonts w:hint="eastAsia" w:ascii="仿宋_GB2312" w:hAnsi="仿宋_GB2312" w:eastAsia="仿宋_GB2312" w:cs="仿宋_GB2312"/>
          <w:bCs w:val="0"/>
          <w:sz w:val="24"/>
          <w:szCs w:val="24"/>
        </w:rPr>
        <w:t>14．</w:t>
      </w:r>
      <w:bookmarkEnd w:id="74"/>
      <w:bookmarkEnd w:id="75"/>
      <w:bookmarkEnd w:id="76"/>
      <w:bookmarkEnd w:id="77"/>
      <w:r>
        <w:rPr>
          <w:rFonts w:hint="eastAsia" w:ascii="仿宋_GB2312" w:hAnsi="仿宋_GB2312" w:eastAsia="仿宋_GB2312" w:cs="仿宋_GB2312"/>
          <w:bCs w:val="0"/>
          <w:sz w:val="24"/>
          <w:szCs w:val="24"/>
        </w:rPr>
        <w:t>审查程序</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8" w:name="_Toc183582238"/>
      <w:bookmarkStart w:id="79" w:name="_Toc183682375"/>
      <w:bookmarkStart w:id="80" w:name="_Toc308164809"/>
      <w:bookmarkStart w:id="81" w:name="_Toc217446063"/>
      <w:r>
        <w:rPr>
          <w:rFonts w:hint="eastAsia" w:ascii="仿宋_GB2312" w:hAnsi="仿宋_GB2312" w:eastAsia="仿宋_GB2312" w:cs="仿宋_GB2312"/>
          <w:sz w:val="24"/>
          <w:szCs w:val="24"/>
        </w:rPr>
        <w:t>15．签订合同</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成都汽车职业技术学校2024年教职工春游项目协议》。因入选投标人的原因逾期未与成都汽车职业技术学校签订《成都汽车职业技术学校2024年教职工春游项目协议》，将视为放弃中选资格，比选主体（成都汽车职业技术学校）有权取消其中选资格并将参照相关规定进行处理。</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成都汽车职业技术学校2024年教职工春游项目协议》的条件，不得与中选投标人私下订立背离比选文件、投标文件实质性内容的任何协议，所签订的《成都汽车职业技术学校2024年教职工春游项目协议》不得对比选文件、投标文件作实质性修改。</w:t>
      </w:r>
    </w:p>
    <w:p>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8"/>
    <w:bookmarkEnd w:id="79"/>
    <w:bookmarkEnd w:id="80"/>
    <w:bookmarkEnd w:id="81"/>
    <w:p>
      <w:pPr>
        <w:spacing w:after="0" w:line="580" w:lineRule="exact"/>
        <w:ind w:firstLine="480" w:firstLineChars="200"/>
        <w:contextualSpacing/>
        <w:jc w:val="left"/>
        <w:rPr>
          <w:rFonts w:ascii="仿宋_GB2312" w:hAnsi="仿宋_GB2312" w:eastAsia="仿宋_GB2312" w:cs="仿宋_GB2312"/>
          <w:sz w:val="24"/>
        </w:rPr>
      </w:pPr>
      <w:bookmarkStart w:id="82" w:name="_Toc217446083"/>
      <w:r>
        <w:rPr>
          <w:rFonts w:hint="eastAsia" w:ascii="仿宋_GB2312" w:hAnsi="仿宋_GB2312" w:eastAsia="仿宋_GB2312" w:cs="仿宋_GB2312"/>
          <w:sz w:val="24"/>
        </w:rPr>
        <w:t>严禁中选投标人将《成都汽车职业技术学校2024年教职工春游项目协议》义务转包。转包是指中选投标人将《成都汽车职业技术学校2024年教职工春游项目协议》义务转让给第三人，并退出现有合同当事人双方的权利义务关系，受让人（即第三人）成为合同另一方当事人的行为。</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中选投标人转包的，视同拒绝履行《成都汽车职业技术学校2024年教职工春游项目协议》义务，将依法追究法律责任。</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pPr>
        <w:spacing w:line="400" w:lineRule="exact"/>
        <w:ind w:firstLine="480" w:firstLineChars="200"/>
        <w:jc w:val="left"/>
        <w:rPr>
          <w:rFonts w:ascii="仿宋_GB2312" w:hAnsi="仿宋_GB2312" w:eastAsia="仿宋_GB2312" w:cs="仿宋_GB2312"/>
          <w:kern w:val="0"/>
          <w:sz w:val="24"/>
        </w:rPr>
      </w:pPr>
    </w:p>
    <w:p>
      <w:pPr>
        <w:pStyle w:val="2"/>
        <w:spacing w:before="120" w:after="120" w:line="700" w:lineRule="exact"/>
        <w:jc w:val="center"/>
        <w:rPr>
          <w:rFonts w:ascii="仿宋_GB2312" w:hAnsi="仿宋_GB2312" w:eastAsia="仿宋_GB2312" w:cs="仿宋_GB2312"/>
          <w:b w:val="0"/>
        </w:rPr>
      </w:pPr>
      <w:bookmarkStart w:id="83" w:name="_Toc1368"/>
      <w:r>
        <w:rPr>
          <w:rFonts w:hint="eastAsia" w:ascii="仿宋_GB2312" w:hAnsi="仿宋_GB2312" w:eastAsia="仿宋_GB2312" w:cs="仿宋_GB2312"/>
          <w:b w:val="0"/>
        </w:rPr>
        <w:br w:type="page"/>
      </w:r>
      <w:bookmarkStart w:id="84" w:name="_Toc3081"/>
      <w:bookmarkStart w:id="85" w:name="_Toc25079259"/>
      <w:r>
        <w:rPr>
          <w:rFonts w:hint="eastAsia" w:ascii="仿宋_GB2312" w:hAnsi="仿宋_GB2312" w:eastAsia="仿宋_GB2312" w:cs="仿宋_GB2312"/>
          <w:b w:val="0"/>
        </w:rPr>
        <w:t xml:space="preserve">第三章  </w:t>
      </w:r>
      <w:bookmarkEnd w:id="83"/>
      <w:bookmarkStart w:id="86" w:name="_Toc217446082"/>
      <w:bookmarkStart w:id="87" w:name="_Toc308164821"/>
      <w:r>
        <w:rPr>
          <w:rFonts w:hint="eastAsia" w:ascii="仿宋_GB2312" w:hAnsi="仿宋_GB2312" w:eastAsia="仿宋_GB2312" w:cs="仿宋_GB2312"/>
          <w:b w:val="0"/>
        </w:rPr>
        <w:t>投标文件格式</w:t>
      </w:r>
      <w:bookmarkEnd w:id="84"/>
      <w:bookmarkEnd w:id="85"/>
    </w:p>
    <w:p>
      <w:pPr>
        <w:widowControl/>
        <w:spacing w:line="580" w:lineRule="exact"/>
        <w:jc w:val="center"/>
        <w:outlineLvl w:val="1"/>
        <w:rPr>
          <w:rFonts w:ascii="仿宋_GB2312" w:hAnsi="仿宋_GB2312" w:eastAsia="仿宋_GB2312" w:cs="仿宋_GB2312"/>
          <w:b/>
          <w:sz w:val="32"/>
          <w:szCs w:val="32"/>
        </w:rPr>
      </w:pP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2"/>
      <w:bookmarkEnd w:id="86"/>
      <w:bookmarkEnd w:id="87"/>
      <w:bookmarkStart w:id="88" w:name="_Toc1588"/>
    </w:p>
    <w:p>
      <w:pPr>
        <w:jc w:val="center"/>
        <w:rPr>
          <w:rFonts w:ascii="楷体" w:hAnsi="楷体" w:eastAsia="楷体" w:cs="楷体"/>
          <w:sz w:val="36"/>
          <w:szCs w:val="36"/>
        </w:rPr>
      </w:pPr>
      <w:r>
        <w:rPr>
          <w:rFonts w:hint="eastAsia" w:ascii="楷体" w:hAnsi="楷体" w:eastAsia="楷体" w:cs="楷体"/>
          <w:b/>
          <w:bCs/>
          <w:sz w:val="48"/>
          <w:szCs w:val="48"/>
        </w:rPr>
        <w:t>成都汽车职业技术学校2</w:t>
      </w:r>
      <w:r>
        <w:rPr>
          <w:rFonts w:ascii="楷体" w:hAnsi="楷体" w:eastAsia="楷体" w:cs="楷体"/>
          <w:b/>
          <w:bCs/>
          <w:sz w:val="48"/>
          <w:szCs w:val="48"/>
        </w:rPr>
        <w:t>024</w:t>
      </w:r>
      <w:r>
        <w:rPr>
          <w:rFonts w:hint="eastAsia" w:ascii="楷体" w:hAnsi="楷体" w:eastAsia="楷体" w:cs="楷体"/>
          <w:b/>
          <w:bCs/>
          <w:sz w:val="48"/>
          <w:szCs w:val="48"/>
        </w:rPr>
        <w:t>教职工春游采购项目</w:t>
      </w:r>
    </w:p>
    <w:p>
      <w:pPr>
        <w:jc w:val="center"/>
        <w:rPr>
          <w:rFonts w:ascii="楷体" w:hAnsi="楷体" w:eastAsia="楷体" w:cs="楷体"/>
          <w:sz w:val="36"/>
          <w:szCs w:val="36"/>
        </w:rPr>
      </w:pP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u w:val="single"/>
        </w:rPr>
        <w:t>成都汽车职业技术学校2024年教职工春游项目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35"/>
        <w:rPr>
          <w:rFonts w:ascii="楷体" w:hAnsi="楷体" w:eastAsia="楷体" w:cs="楷体"/>
          <w:sz w:val="36"/>
          <w:szCs w:val="36"/>
        </w:rPr>
      </w:pPr>
    </w:p>
    <w:p>
      <w:pPr>
        <w:pStyle w:val="35"/>
      </w:pPr>
    </w:p>
    <w:p>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pPr>
        <w:ind w:firstLine="560" w:firstLineChars="200"/>
        <w:jc w:val="left"/>
        <w:rPr>
          <w:rFonts w:ascii="仿宋_GB2312" w:hAnsi="仿宋_GB2312" w:eastAsia="仿宋_GB2312" w:cs="Arial"/>
          <w:sz w:val="28"/>
          <w:szCs w:val="30"/>
        </w:rPr>
      </w:pPr>
    </w:p>
    <w:p>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pPr>
        <w:jc w:val="center"/>
        <w:rPr>
          <w:rFonts w:ascii="方正小标宋简体" w:hAnsi="仿宋_GB2312" w:eastAsia="方正小标宋简体" w:cs="Arial"/>
          <w:bCs/>
          <w:sz w:val="44"/>
          <w:szCs w:val="44"/>
        </w:rPr>
      </w:pPr>
    </w:p>
    <w:p>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pPr>
        <w:ind w:firstLine="560" w:firstLineChars="200"/>
        <w:rPr>
          <w:rFonts w:ascii="仿宋_GB2312" w:hAnsi="仿宋_GB2312" w:eastAsia="仿宋_GB2312" w:cs="Arial"/>
          <w:sz w:val="28"/>
          <w:szCs w:val="30"/>
        </w:rPr>
      </w:pPr>
    </w:p>
    <w:p>
      <w:pPr>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trHeight w:val="858" w:hRule="atLeast"/>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pPr>
        <w:widowControl/>
        <w:ind w:firstLine="643" w:firstLineChars="200"/>
        <w:jc w:val="center"/>
        <w:rPr>
          <w:rFonts w:ascii="仿宋_GB2312" w:hAnsi="仿宋_GB2312" w:eastAsia="仿宋_GB2312" w:cs="宋体"/>
          <w:b/>
          <w:bCs/>
          <w:kern w:val="0"/>
          <w:sz w:val="32"/>
          <w:szCs w:val="32"/>
        </w:rPr>
      </w:pPr>
    </w:p>
    <w:p>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pPr>
        <w:ind w:right="26"/>
        <w:rPr>
          <w:rFonts w:ascii="仿宋_GB2312" w:hAnsi="仿宋_GB2312" w:eastAsia="仿宋_GB2312" w:cs="Arial"/>
          <w:sz w:val="32"/>
          <w:szCs w:val="32"/>
        </w:rPr>
      </w:pPr>
      <w:r>
        <w:rPr>
          <w:rFonts w:hint="eastAsia" w:ascii="仿宋_GB2312" w:hAnsi="仿宋_GB2312" w:eastAsia="仿宋_GB2312" w:cs="Arial"/>
          <w:sz w:val="32"/>
          <w:szCs w:val="32"/>
        </w:rPr>
        <w:t>采购项目编号:</w:t>
      </w:r>
    </w:p>
    <w:p>
      <w:pPr>
        <w:rPr>
          <w:rFonts w:ascii="仿宋_GB2312" w:hAnsi="仿宋_GB2312" w:eastAsia="仿宋_GB2312" w:cs="Arial"/>
          <w:b/>
          <w:sz w:val="32"/>
          <w:szCs w:val="32"/>
        </w:rPr>
      </w:pPr>
    </w:p>
    <w:p>
      <w:pPr>
        <w:rPr>
          <w:rFonts w:ascii="仿宋_GB2312" w:hAnsi="仿宋_GB2312" w:eastAsia="仿宋_GB2312" w:cs="Arial"/>
          <w:b/>
          <w:sz w:val="32"/>
          <w:szCs w:val="32"/>
        </w:rPr>
      </w:pPr>
    </w:p>
    <w:p>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pPr>
        <w:numPr>
          <w:ilvl w:val="0"/>
          <w:numId w:val="5"/>
        </w:numPr>
        <w:ind w:firstLine="640" w:firstLineChars="200"/>
        <w:rPr>
          <w:rFonts w:hint="eastAsia" w:ascii="黑体" w:hAnsi="仿宋_GB2312" w:eastAsia="黑体" w:cs="Arial"/>
          <w:sz w:val="32"/>
          <w:szCs w:val="32"/>
        </w:rPr>
      </w:pPr>
      <w:r>
        <w:rPr>
          <w:rFonts w:hint="eastAsia" w:ascii="黑体" w:hAnsi="仿宋_GB2312" w:eastAsia="黑体" w:cs="Arial"/>
          <w:sz w:val="32"/>
          <w:szCs w:val="32"/>
        </w:rPr>
        <w:t>报价表：</w:t>
      </w:r>
    </w:p>
    <w:tbl>
      <w:tblPr>
        <w:tblStyle w:val="29"/>
        <w:tblpPr w:leftFromText="180" w:rightFromText="180" w:vertAnchor="text" w:horzAnchor="margin" w:tblpY="44"/>
        <w:tblOverlap w:val="never"/>
        <w:tblW w:w="46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524"/>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pct"/>
            <w:shd w:val="clear" w:color="auto" w:fill="DEEBF6" w:themeFill="accent1" w:themeFillTint="32"/>
            <w:vAlign w:val="center"/>
          </w:tcPr>
          <w:p>
            <w:pPr>
              <w:pStyle w:val="10"/>
              <w:jc w:val="center"/>
              <w:rPr>
                <w:rFonts w:ascii="宋体" w:hAnsi="宋体" w:cs="宋体"/>
                <w:b/>
                <w:bCs/>
                <w:kern w:val="0"/>
                <w:sz w:val="32"/>
                <w:szCs w:val="44"/>
              </w:rPr>
            </w:pPr>
            <w:r>
              <w:rPr>
                <w:rFonts w:hint="eastAsia" w:ascii="宋体" w:hAnsi="宋体" w:cs="宋体"/>
                <w:b/>
                <w:bCs/>
                <w:kern w:val="0"/>
                <w:sz w:val="32"/>
                <w:szCs w:val="44"/>
              </w:rPr>
              <w:t>序号</w:t>
            </w:r>
          </w:p>
        </w:tc>
        <w:tc>
          <w:tcPr>
            <w:tcW w:w="2242" w:type="pct"/>
            <w:shd w:val="clear" w:color="auto" w:fill="DEEBF6" w:themeFill="accent1" w:themeFillTint="32"/>
            <w:vAlign w:val="center"/>
          </w:tcPr>
          <w:p>
            <w:pPr>
              <w:pStyle w:val="10"/>
              <w:jc w:val="center"/>
              <w:rPr>
                <w:rFonts w:ascii="宋体" w:hAnsi="宋体" w:cs="宋体"/>
                <w:b/>
                <w:bCs/>
                <w:kern w:val="0"/>
                <w:sz w:val="32"/>
                <w:szCs w:val="44"/>
              </w:rPr>
            </w:pPr>
            <w:r>
              <w:rPr>
                <w:rFonts w:hint="eastAsia" w:ascii="宋体" w:hAnsi="宋体" w:cs="宋体"/>
                <w:b/>
                <w:bCs/>
                <w:kern w:val="0"/>
                <w:sz w:val="32"/>
                <w:szCs w:val="44"/>
              </w:rPr>
              <w:t>项目名称</w:t>
            </w:r>
          </w:p>
        </w:tc>
        <w:tc>
          <w:tcPr>
            <w:tcW w:w="2049" w:type="pct"/>
            <w:shd w:val="clear" w:color="auto" w:fill="DEEBF6" w:themeFill="accent1" w:themeFillTint="32"/>
            <w:vAlign w:val="center"/>
          </w:tcPr>
          <w:p>
            <w:pPr>
              <w:pStyle w:val="10"/>
              <w:jc w:val="center"/>
              <w:rPr>
                <w:rFonts w:ascii="宋体" w:hAnsi="宋体" w:cs="宋体"/>
                <w:b/>
                <w:bCs/>
                <w:kern w:val="0"/>
                <w:sz w:val="32"/>
                <w:szCs w:val="44"/>
              </w:rPr>
            </w:pPr>
            <w:r>
              <w:rPr>
                <w:rFonts w:hint="eastAsia" w:ascii="宋体" w:hAnsi="宋体" w:cs="宋体"/>
                <w:b/>
                <w:bCs/>
                <w:kern w:val="0"/>
                <w:sz w:val="32"/>
                <w:szCs w:val="44"/>
              </w:rPr>
              <w:t>报价（元/人）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pct"/>
            <w:vAlign w:val="center"/>
          </w:tcPr>
          <w:p>
            <w:pPr>
              <w:pStyle w:val="10"/>
              <w:jc w:val="center"/>
              <w:rPr>
                <w:rFonts w:ascii="宋体" w:hAnsi="宋体" w:cs="宋体"/>
                <w:kern w:val="0"/>
                <w:sz w:val="24"/>
              </w:rPr>
            </w:pPr>
            <w:r>
              <w:rPr>
                <w:rFonts w:hint="eastAsia" w:ascii="宋体" w:hAnsi="宋体" w:cs="宋体"/>
                <w:sz w:val="24"/>
              </w:rPr>
              <w:t>1</w:t>
            </w:r>
          </w:p>
        </w:tc>
        <w:tc>
          <w:tcPr>
            <w:tcW w:w="2242" w:type="pct"/>
            <w:vAlign w:val="center"/>
          </w:tcPr>
          <w:p>
            <w:pPr>
              <w:jc w:val="left"/>
              <w:rPr>
                <w:rFonts w:ascii="宋体" w:hAnsi="宋体" w:cs="宋体"/>
                <w:kern w:val="0"/>
                <w:sz w:val="24"/>
              </w:rPr>
            </w:pPr>
            <w:r>
              <w:rPr>
                <w:rFonts w:hint="eastAsia" w:ascii="宋体" w:hAnsi="宋体" w:cs="宋体"/>
                <w:sz w:val="24"/>
              </w:rPr>
              <w:t>成都汽车职业技术学校2024年教职工春游项目</w:t>
            </w:r>
          </w:p>
        </w:tc>
        <w:tc>
          <w:tcPr>
            <w:tcW w:w="2049" w:type="pct"/>
            <w:vAlign w:val="center"/>
          </w:tcPr>
          <w:p>
            <w:pPr>
              <w:pStyle w:val="10"/>
              <w:jc w:val="center"/>
              <w:rPr>
                <w:rFonts w:ascii="宋体" w:hAnsi="宋体" w:cs="宋体"/>
                <w:kern w:val="0"/>
                <w:sz w:val="24"/>
              </w:rPr>
            </w:pPr>
          </w:p>
        </w:tc>
      </w:tr>
    </w:tbl>
    <w:p>
      <w:pPr>
        <w:rPr>
          <w:rFonts w:ascii="仿宋_GB2312" w:hAnsi="仿宋_GB2312" w:eastAsia="仿宋_GB2312" w:cs="Arial"/>
          <w:sz w:val="32"/>
          <w:szCs w:val="32"/>
        </w:rPr>
      </w:pPr>
    </w:p>
    <w:p>
      <w:pPr>
        <w:rPr>
          <w:rFonts w:hint="eastAsia" w:ascii="黑体" w:hAnsi="仿宋_GB2312" w:eastAsia="黑体" w:cs="Arial"/>
          <w:sz w:val="32"/>
          <w:szCs w:val="32"/>
        </w:rPr>
      </w:pP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二、技术支持与服务承诺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四、联系方式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  月  日</w:t>
      </w:r>
    </w:p>
    <w:p>
      <w:pPr>
        <w:jc w:val="center"/>
      </w:pPr>
    </w:p>
    <w:p>
      <w:pPr>
        <w:jc w:val="center"/>
      </w:pPr>
    </w:p>
    <w:p>
      <w:pPr>
        <w:jc w:val="center"/>
      </w:pPr>
    </w:p>
    <w:p>
      <w:pPr>
        <w:jc w:val="center"/>
      </w:pPr>
    </w:p>
    <w:p>
      <w:pPr>
        <w:jc w:val="center"/>
      </w:pPr>
    </w:p>
    <w:p>
      <w:pPr>
        <w:jc w:val="center"/>
      </w:pPr>
    </w:p>
    <w:p>
      <w:pPr>
        <w:pStyle w:val="2"/>
        <w:rPr>
          <w:rFonts w:hint="eastAsia"/>
        </w:rPr>
      </w:pPr>
    </w:p>
    <w:p>
      <w:pPr>
        <w:pStyle w:val="2"/>
      </w:pPr>
    </w:p>
    <w:p>
      <w:pPr>
        <w:rPr>
          <w:rFonts w:hint="eastAsia"/>
        </w:rPr>
      </w:pPr>
    </w:p>
    <w:p>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pStyle w:val="7"/>
        <w:rPr>
          <w:rFonts w:ascii="楷体" w:hAnsi="楷体" w:eastAsia="楷体" w:cs="楷体"/>
          <w:sz w:val="36"/>
          <w:szCs w:val="36"/>
        </w:rPr>
      </w:pPr>
    </w:p>
    <w:p/>
    <w:p>
      <w:pPr>
        <w:pStyle w:val="2"/>
        <w:rPr>
          <w:rFonts w:hint="eastAsia"/>
        </w:rPr>
      </w:pPr>
    </w:p>
    <w:p>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12"/>
        <w:gridCol w:w="2325"/>
        <w:gridCol w:w="2562"/>
        <w:gridCol w:w="3213"/>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hint="default" w:ascii="楷体" w:hAnsi="楷体" w:eastAsia="楷体" w:cs="楷体"/>
                <w:lang w:bidi="ar"/>
              </w:rPr>
              <w:t>序号</w:t>
            </w:r>
          </w:p>
        </w:tc>
        <w:tc>
          <w:tcPr>
            <w:tcW w:w="1366"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hint="default" w:ascii="楷体" w:hAnsi="楷体" w:eastAsia="楷体" w:cs="楷体"/>
                <w:lang w:bidi="ar"/>
              </w:rPr>
              <w:t>项目业主</w:t>
            </w:r>
          </w:p>
        </w:tc>
        <w:tc>
          <w:tcPr>
            <w:tcW w:w="150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hint="default" w:ascii="楷体" w:hAnsi="楷体" w:eastAsia="楷体" w:cs="楷体"/>
                <w:lang w:bidi="ar"/>
              </w:rPr>
              <w:t>项目名称</w:t>
            </w:r>
          </w:p>
        </w:tc>
        <w:tc>
          <w:tcPr>
            <w:tcW w:w="1887"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6"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887"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6"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887"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6"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887"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35"/>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35"/>
        <w:spacing w:line="360" w:lineRule="auto"/>
        <w:rPr>
          <w:rFonts w:ascii="楷体" w:hAnsi="楷体" w:eastAsia="楷体" w:cs="楷体"/>
          <w:sz w:val="28"/>
          <w:szCs w:val="28"/>
        </w:rPr>
      </w:pPr>
    </w:p>
    <w:p>
      <w:pPr>
        <w:pStyle w:val="2"/>
        <w:spacing w:before="120" w:after="120" w:line="700" w:lineRule="exact"/>
        <w:jc w:val="center"/>
        <w:rPr>
          <w:rFonts w:ascii="仿宋_GB2312" w:hAnsi="仿宋_GB2312" w:eastAsia="仿宋_GB2312" w:cs="仿宋_GB2312"/>
          <w:b w:val="0"/>
        </w:rPr>
      </w:pPr>
      <w:bookmarkStart w:id="89" w:name="_Toc18544"/>
      <w:bookmarkStart w:id="90" w:name="_Toc25079261"/>
      <w:r>
        <w:rPr>
          <w:rFonts w:hint="eastAsia" w:ascii="仿宋_GB2312" w:hAnsi="仿宋_GB2312" w:eastAsia="仿宋_GB2312" w:cs="仿宋_GB2312"/>
          <w:b w:val="0"/>
        </w:rPr>
        <w:t xml:space="preserve">第四章  </w:t>
      </w:r>
      <w:bookmarkEnd w:id="88"/>
      <w:r>
        <w:rPr>
          <w:rFonts w:hint="eastAsia" w:ascii="仿宋_GB2312" w:hAnsi="仿宋_GB2312" w:eastAsia="仿宋_GB2312" w:cs="仿宋_GB2312"/>
          <w:b w:val="0"/>
        </w:rPr>
        <w:t>资格审查</w:t>
      </w:r>
      <w:bookmarkEnd w:id="89"/>
      <w:bookmarkEnd w:id="90"/>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39"/>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39"/>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p>
            <w:pPr>
              <w:pStyle w:val="39"/>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投标旅行社应提供有效的《旅行社业务经营许可证》复印件并加盖供应商公章</w:t>
            </w:r>
          </w:p>
        </w:tc>
        <w:tc>
          <w:tcPr>
            <w:tcW w:w="1134" w:type="dxa"/>
            <w:vAlign w:val="center"/>
          </w:tcPr>
          <w:p>
            <w:pPr>
              <w:pStyle w:val="39"/>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39"/>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39"/>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39"/>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39"/>
              <w:rPr>
                <w:rFonts w:ascii="仿宋_GB2312" w:hAnsi="仿宋_GB2312" w:eastAsia="仿宋_GB2312" w:cs="仿宋_GB2312"/>
                <w:color w:val="FF0000"/>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w:t>
      </w:r>
      <w:bookmarkEnd w:id="19"/>
    </w:p>
    <w:sectPr>
      <w:headerReference r:id="rId8" w:type="default"/>
      <w:footerReference r:id="rId9" w:type="default"/>
      <w:footerReference r:id="rId10"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1C9AC4B-618A-4CCE-A88B-DDED48286C71}"/>
  </w:font>
  <w:font w:name="黑体">
    <w:panose1 w:val="02010609060101010101"/>
    <w:charset w:val="86"/>
    <w:family w:val="auto"/>
    <w:pitch w:val="default"/>
    <w:sig w:usb0="800002BF" w:usb1="38CF7CFA" w:usb2="00000016" w:usb3="00000000" w:csb0="00040001" w:csb1="00000000"/>
    <w:embedRegular r:id="rId2" w:fontKey="{2319F71B-F649-4D32-8839-A3A9014022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1032158-ECF6-41DD-9FFA-3BBED3FBFEAE}"/>
  </w:font>
  <w:font w:name="仿宋">
    <w:panose1 w:val="02010609060101010101"/>
    <w:charset w:val="86"/>
    <w:family w:val="modern"/>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9E60F5A0-6897-4D1E-A32E-E6C1AB4C6E7C}"/>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5" w:fontKey="{A04754B5-90F9-4B80-94E3-AB21920A4AF7}"/>
  </w:font>
  <w:font w:name="方正仿宋_GBK">
    <w:panose1 w:val="02000000000000000000"/>
    <w:charset w:val="86"/>
    <w:family w:val="script"/>
    <w:pitch w:val="default"/>
    <w:sig w:usb0="A00002BF" w:usb1="38CF7CFA" w:usb2="00082016" w:usb3="00000000" w:csb0="00040001" w:csb1="00000000"/>
    <w:embedRegular r:id="rId6" w:fontKey="{989C2988-9D00-4AEC-8B57-8D4C983FD4A4}"/>
  </w:font>
  <w:font w:name="楷体">
    <w:panose1 w:val="02010609060101010101"/>
    <w:charset w:val="86"/>
    <w:family w:val="modern"/>
    <w:pitch w:val="default"/>
    <w:sig w:usb0="800002BF" w:usb1="38CF7CFA" w:usb2="00000016" w:usb3="00000000" w:csb0="00040001" w:csb1="00000000"/>
    <w:embedRegular r:id="rId7" w:fontKey="{6B7FA726-64B5-4CF8-A088-EE5CAA358E1E}"/>
  </w:font>
  <w:font w:name="方正小标宋简体">
    <w:panose1 w:val="03000509000000000000"/>
    <w:charset w:val="86"/>
    <w:family w:val="script"/>
    <w:pitch w:val="default"/>
    <w:sig w:usb0="00000001" w:usb1="080E0000" w:usb2="00000000" w:usb3="00000000" w:csb0="00040000" w:csb1="00000000"/>
    <w:embedRegular r:id="rId8" w:fontKey="{E480E94E-15A1-4C25-84F6-85AEF59931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rPr>
                              <w:rStyle w:val="31"/>
                            </w:rPr>
                          </w:pPr>
                          <w:r>
                            <w:fldChar w:fldCharType="begin"/>
                          </w:r>
                          <w:r>
                            <w:rPr>
                              <w:rStyle w:val="31"/>
                            </w:rPr>
                            <w:instrText xml:space="preserve">PAGE  </w:instrText>
                          </w:r>
                          <w:r>
                            <w:fldChar w:fldCharType="separate"/>
                          </w:r>
                          <w:r>
                            <w:rPr>
                              <w:rStyle w:val="31"/>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jc w:val="center"/>
                      <w:rPr>
                        <w:rStyle w:val="31"/>
                      </w:rPr>
                    </w:pPr>
                    <w:r>
                      <w:fldChar w:fldCharType="begin"/>
                    </w:r>
                    <w:r>
                      <w:rPr>
                        <w:rStyle w:val="31"/>
                      </w:rPr>
                      <w:instrText xml:space="preserve">PAGE  </w:instrText>
                    </w:r>
                    <w:r>
                      <w:fldChar w:fldCharType="separate"/>
                    </w:r>
                    <w:r>
                      <w:rPr>
                        <w:rStyle w:val="31"/>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31"/>
                            </w:rPr>
                          </w:pPr>
                          <w:r>
                            <w:fldChar w:fldCharType="begin"/>
                          </w:r>
                          <w:r>
                            <w:rPr>
                              <w:rStyle w:val="31"/>
                            </w:rPr>
                            <w:instrText xml:space="preserve">PAGE  </w:instrText>
                          </w:r>
                          <w:r>
                            <w:fldChar w:fldCharType="separate"/>
                          </w:r>
                          <w:r>
                            <w:rPr>
                              <w:rStyle w:val="31"/>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rPr>
                        <w:rStyle w:val="31"/>
                      </w:rPr>
                    </w:pPr>
                    <w:r>
                      <w:fldChar w:fldCharType="begin"/>
                    </w:r>
                    <w:r>
                      <w:rPr>
                        <w:rStyle w:val="31"/>
                      </w:rPr>
                      <w:instrText xml:space="preserve">PAGE  </w:instrText>
                    </w:r>
                    <w:r>
                      <w:fldChar w:fldCharType="separate"/>
                    </w:r>
                    <w:r>
                      <w:rPr>
                        <w:rStyle w:val="31"/>
                      </w:rP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rPr>
        <w:rStyle w:val="31"/>
      </w:rPr>
      <w:t>56</w:t>
    </w:r>
    <w:r>
      <w:fldChar w:fldCharType="end"/>
    </w:r>
  </w:p>
  <w:p>
    <w:pPr>
      <w:pStyle w:val="17"/>
      <w:ind w:right="36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FE661483"/>
    <w:multiLevelType w:val="singleLevel"/>
    <w:tmpl w:val="FE661483"/>
    <w:lvl w:ilvl="0" w:tentative="0">
      <w:start w:val="2"/>
      <w:numFmt w:val="decimal"/>
      <w:suff w:val="space"/>
      <w:lvlText w:val="%1."/>
      <w:lvlJc w:val="left"/>
    </w:lvl>
  </w:abstractNum>
  <w:abstractNum w:abstractNumId="3">
    <w:nsid w:val="0000000A"/>
    <w:multiLevelType w:val="singleLevel"/>
    <w:tmpl w:val="0000000A"/>
    <w:lvl w:ilvl="0" w:tentative="0">
      <w:start w:val="1"/>
      <w:numFmt w:val="chineseCounting"/>
      <w:suff w:val="nothing"/>
      <w:lvlText w:val="%1、"/>
      <w:lvlJc w:val="left"/>
    </w:lvl>
  </w:abstractNum>
  <w:abstractNum w:abstractNumId="4">
    <w:nsid w:val="0F32BD27"/>
    <w:multiLevelType w:val="singleLevel"/>
    <w:tmpl w:val="0F32BD27"/>
    <w:lvl w:ilvl="0" w:tentative="0">
      <w:start w:val="1"/>
      <w:numFmt w:val="decimal"/>
      <w:lvlText w:val="%1."/>
      <w:lvlJc w:val="left"/>
      <w:pPr>
        <w:ind w:left="425" w:hanging="425"/>
      </w:pPr>
      <w:rPr>
        <w:rFonts w:hint="default"/>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OTIyMTkyZTIyNmFiYzc4N2U5OGZmYThjZjAzZjgifQ=="/>
    <w:docVar w:name="KSO_WPS_MARK_KEY" w:val="ca7a71ed-42b7-4272-8a3c-a1d440d2fbd3"/>
  </w:docVars>
  <w:rsids>
    <w:rsidRoot w:val="00172A27"/>
    <w:rsid w:val="00000B84"/>
    <w:rsid w:val="00001FF3"/>
    <w:rsid w:val="000058B0"/>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18DE"/>
    <w:rsid w:val="002B2897"/>
    <w:rsid w:val="002B3F90"/>
    <w:rsid w:val="002B5934"/>
    <w:rsid w:val="002B6198"/>
    <w:rsid w:val="002B734E"/>
    <w:rsid w:val="002C1197"/>
    <w:rsid w:val="002C62B8"/>
    <w:rsid w:val="002C7CE4"/>
    <w:rsid w:val="002D12EA"/>
    <w:rsid w:val="002D2655"/>
    <w:rsid w:val="002D6171"/>
    <w:rsid w:val="002E1022"/>
    <w:rsid w:val="002E400C"/>
    <w:rsid w:val="002E6277"/>
    <w:rsid w:val="002E7648"/>
    <w:rsid w:val="002F1AAA"/>
    <w:rsid w:val="002F2C9B"/>
    <w:rsid w:val="002F4197"/>
    <w:rsid w:val="002F56EB"/>
    <w:rsid w:val="002F5B9B"/>
    <w:rsid w:val="002F7E1D"/>
    <w:rsid w:val="00301AC0"/>
    <w:rsid w:val="003027FF"/>
    <w:rsid w:val="00303552"/>
    <w:rsid w:val="00303E08"/>
    <w:rsid w:val="0030424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2DA6"/>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5F0D"/>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65C"/>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436A"/>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57642"/>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0390"/>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3E93"/>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10D9"/>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2A16"/>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C278A5"/>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4C102C"/>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4D1E86"/>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995AE5"/>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37249D"/>
    <w:rsid w:val="28661406"/>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2D25"/>
    <w:rsid w:val="2CAB55D2"/>
    <w:rsid w:val="2CB2599C"/>
    <w:rsid w:val="2D041E59"/>
    <w:rsid w:val="2D1B11C4"/>
    <w:rsid w:val="2D2864D4"/>
    <w:rsid w:val="2D422BA0"/>
    <w:rsid w:val="2D423CBA"/>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B74713"/>
    <w:rsid w:val="32D23B02"/>
    <w:rsid w:val="32D70991"/>
    <w:rsid w:val="33863DDA"/>
    <w:rsid w:val="33AA75FC"/>
    <w:rsid w:val="33C313FB"/>
    <w:rsid w:val="33DA7A39"/>
    <w:rsid w:val="33DC14FA"/>
    <w:rsid w:val="33E70810"/>
    <w:rsid w:val="33ED6F82"/>
    <w:rsid w:val="33F86541"/>
    <w:rsid w:val="34764C1F"/>
    <w:rsid w:val="34C41960"/>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794976"/>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11583"/>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604397"/>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4F87862"/>
    <w:rsid w:val="552E609C"/>
    <w:rsid w:val="554E12E4"/>
    <w:rsid w:val="558F58F4"/>
    <w:rsid w:val="55AC269A"/>
    <w:rsid w:val="55B769EE"/>
    <w:rsid w:val="55ED0CCF"/>
    <w:rsid w:val="560B1770"/>
    <w:rsid w:val="562F2B63"/>
    <w:rsid w:val="563D07A6"/>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7C318D"/>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A42103"/>
    <w:rsid w:val="5DB222EE"/>
    <w:rsid w:val="5DB73653"/>
    <w:rsid w:val="5DC86313"/>
    <w:rsid w:val="5DE44F8E"/>
    <w:rsid w:val="5DE46744"/>
    <w:rsid w:val="5DF842AB"/>
    <w:rsid w:val="5E024B6D"/>
    <w:rsid w:val="5E0467B1"/>
    <w:rsid w:val="5E0C6A84"/>
    <w:rsid w:val="5E146DCB"/>
    <w:rsid w:val="5E1E0FE7"/>
    <w:rsid w:val="5E2F576D"/>
    <w:rsid w:val="5E331DA0"/>
    <w:rsid w:val="5E3C4560"/>
    <w:rsid w:val="5E42154B"/>
    <w:rsid w:val="5E4274C8"/>
    <w:rsid w:val="5E785E71"/>
    <w:rsid w:val="5E88739E"/>
    <w:rsid w:val="5E977047"/>
    <w:rsid w:val="5ECA0B0A"/>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E2484B"/>
    <w:rsid w:val="63E71BA5"/>
    <w:rsid w:val="63FB3B19"/>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6E1297"/>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2131A2"/>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7F08BC"/>
    <w:rsid w:val="71936E1E"/>
    <w:rsid w:val="71C9438B"/>
    <w:rsid w:val="71EB232F"/>
    <w:rsid w:val="71F117FD"/>
    <w:rsid w:val="71F22395"/>
    <w:rsid w:val="72182CC1"/>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AF6CBC"/>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5"/>
    <w:qFormat/>
    <w:uiPriority w:val="0"/>
    <w:rPr>
      <w:rFonts w:ascii="宋体"/>
      <w:sz w:val="18"/>
      <w:szCs w:val="18"/>
    </w:rPr>
  </w:style>
  <w:style w:type="paragraph" w:styleId="9">
    <w:name w:val="annotation text"/>
    <w:basedOn w:val="1"/>
    <w:link w:val="52"/>
    <w:qFormat/>
    <w:uiPriority w:val="0"/>
    <w:pPr>
      <w:jc w:val="left"/>
    </w:pPr>
  </w:style>
  <w:style w:type="paragraph" w:styleId="10">
    <w:name w:val="Body Text"/>
    <w:basedOn w:val="1"/>
    <w:link w:val="51"/>
    <w:unhideWhenUsed/>
    <w:qFormat/>
    <w:uiPriority w:val="0"/>
    <w:pPr>
      <w:spacing w:after="120"/>
    </w:pPr>
  </w:style>
  <w:style w:type="paragraph" w:styleId="11">
    <w:name w:val="Body Text Indent"/>
    <w:basedOn w:val="1"/>
    <w:qFormat/>
    <w:uiPriority w:val="0"/>
    <w:pPr>
      <w:ind w:firstLine="630"/>
    </w:pPr>
    <w:rPr>
      <w:sz w:val="32"/>
      <w:szCs w:val="20"/>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rPr>
  </w:style>
  <w:style w:type="paragraph" w:styleId="15">
    <w:name w:val="toc 8"/>
    <w:basedOn w:val="1"/>
    <w:next w:val="1"/>
    <w:qFormat/>
    <w:uiPriority w:val="0"/>
    <w:pPr>
      <w:ind w:left="2940" w:leftChars="1400"/>
    </w:pPr>
  </w:style>
  <w:style w:type="paragraph" w:styleId="16">
    <w:name w:val="Balloon Text"/>
    <w:basedOn w:val="1"/>
    <w:link w:val="53"/>
    <w:qFormat/>
    <w:uiPriority w:val="0"/>
    <w:rPr>
      <w:sz w:val="18"/>
      <w:szCs w:val="18"/>
    </w:rPr>
  </w:style>
  <w:style w:type="paragraph" w:styleId="17">
    <w:name w:val="footer"/>
    <w:basedOn w:val="1"/>
    <w:link w:val="60"/>
    <w:qFormat/>
    <w:uiPriority w:val="99"/>
    <w:pPr>
      <w:tabs>
        <w:tab w:val="center" w:pos="4153"/>
        <w:tab w:val="right" w:pos="8306"/>
      </w:tabs>
      <w:snapToGrid w:val="0"/>
      <w:jc w:val="left"/>
    </w:pPr>
    <w:rPr>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link w:val="62"/>
    <w:qFormat/>
    <w:uiPriority w:val="0"/>
    <w:pPr>
      <w:widowControl/>
      <w:spacing w:before="100" w:beforeAutospacing="1" w:after="100" w:afterAutospacing="1"/>
      <w:jc w:val="left"/>
    </w:pPr>
    <w:rPr>
      <w:rFonts w:ascii="宋体"/>
      <w:kern w:val="0"/>
      <w:sz w:val="18"/>
      <w:szCs w:val="18"/>
    </w:rPr>
  </w:style>
  <w:style w:type="paragraph" w:styleId="26">
    <w:name w:val="annotation subject"/>
    <w:basedOn w:val="9"/>
    <w:next w:val="9"/>
    <w:link w:val="63"/>
    <w:qFormat/>
    <w:uiPriority w:val="0"/>
    <w:rPr>
      <w:b/>
      <w:bCs/>
    </w:rPr>
  </w:style>
  <w:style w:type="paragraph" w:styleId="27">
    <w:name w:val="Body Text First Indent"/>
    <w:basedOn w:val="10"/>
    <w:qFormat/>
    <w:uiPriority w:val="0"/>
    <w:pPr>
      <w:ind w:firstLine="420" w:firstLineChars="100"/>
    </w:p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rPr>
      <w:rFonts w:ascii="Calibri" w:hAnsi="Calibri" w:eastAsia="宋体" w:cs="Times New Roman"/>
    </w:rPr>
  </w:style>
  <w:style w:type="character" w:styleId="32">
    <w:name w:val="Emphasis"/>
    <w:autoRedefine/>
    <w:qFormat/>
    <w:uiPriority w:val="0"/>
    <w:rPr>
      <w:rFonts w:ascii="Calibri" w:hAnsi="Calibri" w:eastAsia="宋体" w:cs="Times New Roman"/>
    </w:rPr>
  </w:style>
  <w:style w:type="character" w:styleId="33">
    <w:name w:val="Hyperlink"/>
    <w:autoRedefine/>
    <w:unhideWhenUsed/>
    <w:qFormat/>
    <w:uiPriority w:val="99"/>
    <w:rPr>
      <w:rFonts w:ascii="Calibri" w:hAnsi="Calibri" w:eastAsia="宋体" w:cs="Times New Roman"/>
      <w:color w:val="0563C1"/>
      <w:u w:val="single"/>
    </w:rPr>
  </w:style>
  <w:style w:type="character" w:styleId="34">
    <w:name w:val="annotation reference"/>
    <w:autoRedefine/>
    <w:qFormat/>
    <w:uiPriority w:val="99"/>
    <w:rPr>
      <w:rFonts w:ascii="Calibri" w:hAnsi="Calibri" w:eastAsia="宋体" w:cs="Times New Roman"/>
      <w:sz w:val="21"/>
      <w:szCs w:val="21"/>
    </w:rPr>
  </w:style>
  <w:style w:type="paragraph" w:customStyle="1" w:styleId="35">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样式"/>
    <w:link w:val="57"/>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7">
    <w:name w:val="正文首行缩进两字符"/>
    <w:basedOn w:val="38"/>
    <w:autoRedefine/>
    <w:qFormat/>
    <w:uiPriority w:val="0"/>
    <w:pPr>
      <w:spacing w:line="360" w:lineRule="auto"/>
      <w:ind w:firstLine="200" w:firstLineChars="200"/>
    </w:pPr>
  </w:style>
  <w:style w:type="paragraph" w:customStyle="1" w:styleId="38">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9">
    <w:name w:val="样式1"/>
    <w:basedOn w:val="36"/>
    <w:link w:val="59"/>
    <w:autoRedefine/>
    <w:qFormat/>
    <w:uiPriority w:val="0"/>
    <w:pPr>
      <w:spacing w:after="0" w:line="400" w:lineRule="exact"/>
      <w:jc w:val="center"/>
    </w:pPr>
    <w:rPr>
      <w:rFonts w:ascii="仿宋" w:hAnsi="仿宋" w:eastAsia="仿宋" w:cs="Times New Roman"/>
      <w:kern w:val="2"/>
      <w:szCs w:val="28"/>
    </w:rPr>
  </w:style>
  <w:style w:type="paragraph" w:customStyle="1" w:styleId="40">
    <w:name w:val="(符号)四标题1.1"/>
    <w:basedOn w:val="1"/>
    <w:autoRedefine/>
    <w:qFormat/>
    <w:uiPriority w:val="0"/>
    <w:pPr>
      <w:numPr>
        <w:ilvl w:val="1"/>
        <w:numId w:val="1"/>
      </w:numPr>
      <w:tabs>
        <w:tab w:val="left" w:pos="700"/>
      </w:tabs>
      <w:spacing w:after="0" w:line="500" w:lineRule="exact"/>
    </w:pPr>
    <w:rPr>
      <w:rFonts w:ascii="宋体" w:hAnsi="宋体" w:cs="宋体"/>
      <w:color w:val="000000"/>
      <w:kern w:val="0"/>
      <w:sz w:val="24"/>
      <w:szCs w:val="20"/>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目录"/>
    <w:basedOn w:val="1"/>
    <w:autoRedefine/>
    <w:qFormat/>
    <w:uiPriority w:val="0"/>
    <w:pPr>
      <w:widowControl/>
      <w:spacing w:after="0" w:line="240" w:lineRule="auto"/>
      <w:jc w:val="center"/>
    </w:pPr>
    <w:rPr>
      <w:rFonts w:ascii="宋体" w:hAnsi="Times New Roman"/>
      <w:b/>
      <w:bCs/>
      <w:kern w:val="0"/>
      <w:sz w:val="36"/>
      <w:szCs w:val="36"/>
    </w:rPr>
  </w:style>
  <w:style w:type="paragraph" w:styleId="43">
    <w:name w:val="List Paragraph"/>
    <w:basedOn w:val="1"/>
    <w:link w:val="45"/>
    <w:autoRedefine/>
    <w:qFormat/>
    <w:uiPriority w:val="34"/>
    <w:pPr>
      <w:ind w:firstLine="420" w:firstLineChars="200"/>
    </w:pPr>
  </w:style>
  <w:style w:type="paragraph" w:customStyle="1" w:styleId="44">
    <w:name w:val="_Style 2"/>
    <w:basedOn w:val="1"/>
    <w:qFormat/>
    <w:uiPriority w:val="0"/>
    <w:pPr>
      <w:ind w:firstLine="420" w:firstLineChars="200"/>
    </w:pPr>
    <w:rPr>
      <w:sz w:val="18"/>
      <w:szCs w:val="18"/>
    </w:rPr>
  </w:style>
  <w:style w:type="character" w:customStyle="1" w:styleId="45">
    <w:name w:val="列表段落 字符"/>
    <w:link w:val="43"/>
    <w:autoRedefine/>
    <w:qFormat/>
    <w:uiPriority w:val="34"/>
    <w:rPr>
      <w:rFonts w:ascii="Calibri" w:hAnsi="Calibri" w:eastAsia="宋体" w:cs="Times New Roman"/>
      <w:kern w:val="2"/>
      <w:sz w:val="21"/>
      <w:szCs w:val="24"/>
    </w:rPr>
  </w:style>
  <w:style w:type="character" w:customStyle="1" w:styleId="46">
    <w:name w:val="标题 1 字符"/>
    <w:link w:val="2"/>
    <w:autoRedefine/>
    <w:qFormat/>
    <w:uiPriority w:val="0"/>
    <w:rPr>
      <w:rFonts w:ascii="Calibri" w:hAnsi="Calibri" w:eastAsia="宋体" w:cs="Times New Roman"/>
      <w:b/>
      <w:bCs/>
      <w:kern w:val="44"/>
      <w:sz w:val="44"/>
      <w:szCs w:val="44"/>
    </w:rPr>
  </w:style>
  <w:style w:type="character" w:customStyle="1" w:styleId="47">
    <w:name w:val="font31"/>
    <w:qFormat/>
    <w:uiPriority w:val="0"/>
    <w:rPr>
      <w:rFonts w:hint="eastAsia" w:ascii="宋体" w:hAnsi="宋体" w:eastAsia="宋体" w:cs="宋体"/>
      <w:color w:val="000000"/>
      <w:sz w:val="21"/>
      <w:szCs w:val="21"/>
      <w:u w:val="none"/>
    </w:rPr>
  </w:style>
  <w:style w:type="character" w:customStyle="1" w:styleId="48">
    <w:name w:val="sidecatalog-index2"/>
    <w:autoRedefine/>
    <w:qFormat/>
    <w:uiPriority w:val="0"/>
    <w:rPr>
      <w:rFonts w:ascii="Arail" w:hAnsi="Arail" w:eastAsia="Arail" w:cs="Arail"/>
      <w:color w:val="999999"/>
      <w:sz w:val="21"/>
      <w:szCs w:val="21"/>
    </w:rPr>
  </w:style>
  <w:style w:type="character" w:customStyle="1" w:styleId="49">
    <w:name w:val="font101"/>
    <w:autoRedefine/>
    <w:qFormat/>
    <w:uiPriority w:val="0"/>
    <w:rPr>
      <w:rFonts w:hint="eastAsia" w:ascii="宋体" w:hAnsi="宋体" w:eastAsia="宋体" w:cs="宋体"/>
      <w:color w:val="000000"/>
      <w:sz w:val="21"/>
      <w:szCs w:val="21"/>
      <w:u w:val="single"/>
    </w:rPr>
  </w:style>
  <w:style w:type="character" w:customStyle="1" w:styleId="50">
    <w:name w:val="fontstyle01"/>
    <w:qFormat/>
    <w:uiPriority w:val="0"/>
    <w:rPr>
      <w:rFonts w:hint="eastAsia" w:ascii="仿宋_GB2312" w:hAnsi="Calibri" w:eastAsia="仿宋_GB2312" w:cs="Times New Roman"/>
      <w:color w:val="000000"/>
      <w:sz w:val="32"/>
      <w:szCs w:val="32"/>
    </w:rPr>
  </w:style>
  <w:style w:type="character" w:customStyle="1" w:styleId="51">
    <w:name w:val="正文文本 字符"/>
    <w:link w:val="10"/>
    <w:autoRedefine/>
    <w:semiHidden/>
    <w:qFormat/>
    <w:uiPriority w:val="0"/>
    <w:rPr>
      <w:rFonts w:ascii="Calibri" w:hAnsi="Calibri" w:eastAsia="宋体" w:cs="Times New Roman"/>
      <w:kern w:val="2"/>
      <w:sz w:val="21"/>
      <w:szCs w:val="24"/>
    </w:rPr>
  </w:style>
  <w:style w:type="character" w:customStyle="1" w:styleId="52">
    <w:name w:val="批注文字 字符"/>
    <w:link w:val="9"/>
    <w:autoRedefine/>
    <w:qFormat/>
    <w:uiPriority w:val="0"/>
    <w:rPr>
      <w:rFonts w:ascii="Calibri" w:hAnsi="Calibri" w:eastAsia="宋体" w:cs="Times New Roman"/>
      <w:kern w:val="2"/>
      <w:sz w:val="21"/>
      <w:szCs w:val="24"/>
    </w:rPr>
  </w:style>
  <w:style w:type="character" w:customStyle="1" w:styleId="53">
    <w:name w:val="批注框文本 字符"/>
    <w:link w:val="16"/>
    <w:autoRedefine/>
    <w:qFormat/>
    <w:uiPriority w:val="0"/>
    <w:rPr>
      <w:rFonts w:ascii="Calibri" w:hAnsi="Calibri" w:eastAsia="宋体" w:cs="Times New Roman"/>
      <w:kern w:val="2"/>
      <w:sz w:val="18"/>
      <w:szCs w:val="18"/>
    </w:rPr>
  </w:style>
  <w:style w:type="character" w:customStyle="1" w:styleId="54">
    <w:name w:val="批注框文本 Char"/>
    <w:autoRedefine/>
    <w:qFormat/>
    <w:uiPriority w:val="0"/>
    <w:rPr>
      <w:rFonts w:ascii="Calibri" w:hAnsi="Calibri" w:eastAsia="宋体" w:cs="Times New Roman"/>
      <w:kern w:val="2"/>
      <w:sz w:val="18"/>
      <w:szCs w:val="18"/>
    </w:rPr>
  </w:style>
  <w:style w:type="character" w:customStyle="1" w:styleId="55">
    <w:name w:val="文档结构图 字符"/>
    <w:link w:val="8"/>
    <w:autoRedefine/>
    <w:qFormat/>
    <w:uiPriority w:val="0"/>
    <w:rPr>
      <w:rFonts w:ascii="宋体" w:hAnsi="Calibri" w:eastAsia="宋体" w:cs="Times New Roman"/>
      <w:kern w:val="2"/>
      <w:sz w:val="18"/>
      <w:szCs w:val="18"/>
    </w:rPr>
  </w:style>
  <w:style w:type="character" w:customStyle="1" w:styleId="56">
    <w:name w:val="批注文字 Char1"/>
    <w:autoRedefine/>
    <w:qFormat/>
    <w:uiPriority w:val="0"/>
    <w:rPr>
      <w:rFonts w:ascii="Times New Roman" w:hAnsi="Times New Roman" w:eastAsia="宋体" w:cs="Times New Roman"/>
      <w:szCs w:val="24"/>
    </w:rPr>
  </w:style>
  <w:style w:type="character" w:customStyle="1" w:styleId="57">
    <w:name w:val="样式 Char"/>
    <w:link w:val="36"/>
    <w:autoRedefine/>
    <w:qFormat/>
    <w:uiPriority w:val="0"/>
    <w:rPr>
      <w:rFonts w:ascii="宋体" w:hAnsi="宋体" w:eastAsia="宋体" w:cs="宋体"/>
      <w:sz w:val="24"/>
      <w:szCs w:val="24"/>
      <w:lang w:val="en-US" w:eastAsia="zh-CN" w:bidi="ar-SA"/>
    </w:rPr>
  </w:style>
  <w:style w:type="character" w:customStyle="1" w:styleId="58">
    <w:name w:val="font91"/>
    <w:autoRedefine/>
    <w:qFormat/>
    <w:uiPriority w:val="0"/>
    <w:rPr>
      <w:rFonts w:hint="eastAsia" w:ascii="宋体" w:hAnsi="宋体" w:eastAsia="宋体" w:cs="宋体"/>
      <w:color w:val="FF0000"/>
      <w:sz w:val="21"/>
      <w:szCs w:val="21"/>
      <w:u w:val="single"/>
    </w:rPr>
  </w:style>
  <w:style w:type="character" w:customStyle="1" w:styleId="59">
    <w:name w:val="样式1 Char"/>
    <w:link w:val="39"/>
    <w:autoRedefine/>
    <w:qFormat/>
    <w:uiPriority w:val="0"/>
    <w:rPr>
      <w:rFonts w:ascii="仿宋" w:hAnsi="仿宋" w:eastAsia="仿宋" w:cs="宋体"/>
      <w:kern w:val="2"/>
      <w:sz w:val="24"/>
      <w:szCs w:val="28"/>
    </w:rPr>
  </w:style>
  <w:style w:type="character" w:customStyle="1" w:styleId="60">
    <w:name w:val="页脚 字符"/>
    <w:link w:val="17"/>
    <w:autoRedefine/>
    <w:qFormat/>
    <w:uiPriority w:val="99"/>
    <w:rPr>
      <w:rFonts w:ascii="Calibri" w:hAnsi="Calibri" w:eastAsia="宋体" w:cs="Times New Roman"/>
      <w:kern w:val="2"/>
      <w:sz w:val="18"/>
    </w:rPr>
  </w:style>
  <w:style w:type="character" w:customStyle="1" w:styleId="61">
    <w:name w:val="标题 2 字符"/>
    <w:link w:val="3"/>
    <w:autoRedefine/>
    <w:qFormat/>
    <w:uiPriority w:val="0"/>
    <w:rPr>
      <w:rFonts w:ascii="Arial" w:hAnsi="Arial" w:eastAsia="黑体" w:cs="Times New Roman"/>
      <w:b/>
      <w:bCs/>
      <w:kern w:val="2"/>
      <w:sz w:val="32"/>
      <w:szCs w:val="32"/>
    </w:rPr>
  </w:style>
  <w:style w:type="character" w:customStyle="1" w:styleId="62">
    <w:name w:val="普通(网站) 字符"/>
    <w:link w:val="25"/>
    <w:autoRedefine/>
    <w:qFormat/>
    <w:uiPriority w:val="0"/>
    <w:rPr>
      <w:rFonts w:ascii="宋体" w:hAnsi="Calibri" w:eastAsia="宋体" w:cs="Times New Roman"/>
      <w:sz w:val="18"/>
      <w:szCs w:val="18"/>
    </w:rPr>
  </w:style>
  <w:style w:type="character" w:customStyle="1" w:styleId="63">
    <w:name w:val="批注主题 字符"/>
    <w:link w:val="26"/>
    <w:autoRedefine/>
    <w:qFormat/>
    <w:uiPriority w:val="0"/>
    <w:rPr>
      <w:rFonts w:ascii="Calibri" w:hAnsi="Calibri" w:eastAsia="宋体" w:cs="Times New Roman"/>
      <w:b/>
      <w:bCs/>
      <w:kern w:val="2"/>
      <w:sz w:val="21"/>
      <w:szCs w:val="24"/>
    </w:rPr>
  </w:style>
  <w:style w:type="character" w:customStyle="1" w:styleId="64">
    <w:name w:val="font111"/>
    <w:autoRedefine/>
    <w:qFormat/>
    <w:uiPriority w:val="0"/>
    <w:rPr>
      <w:rFonts w:hint="default" w:ascii="Eʩ" w:hAnsi="Eʩ" w:eastAsia="Eʩ" w:cs="Eʩ"/>
      <w:color w:val="000000"/>
      <w:sz w:val="21"/>
      <w:szCs w:val="21"/>
      <w:u w:val="single"/>
    </w:rPr>
  </w:style>
  <w:style w:type="character" w:customStyle="1" w:styleId="65">
    <w:name w:val="font11"/>
    <w:basedOn w:val="30"/>
    <w:autoRedefine/>
    <w:qFormat/>
    <w:uiPriority w:val="0"/>
    <w:rPr>
      <w:rFonts w:hint="eastAsia" w:ascii="宋体" w:hAnsi="宋体" w:eastAsia="宋体" w:cs="宋体"/>
      <w:color w:val="000000"/>
      <w:sz w:val="24"/>
      <w:szCs w:val="24"/>
      <w:u w:val="none"/>
    </w:rPr>
  </w:style>
  <w:style w:type="character" w:customStyle="1" w:styleId="66">
    <w:name w:val="font71"/>
    <w:basedOn w:val="30"/>
    <w:autoRedefine/>
    <w:qFormat/>
    <w:uiPriority w:val="0"/>
    <w:rPr>
      <w:rFonts w:ascii="微软雅黑" w:hAnsi="微软雅黑" w:eastAsia="微软雅黑" w:cs="微软雅黑"/>
      <w:color w:val="auto"/>
      <w:sz w:val="28"/>
      <w:szCs w:val="28"/>
      <w:u w:val="none"/>
    </w:rPr>
  </w:style>
  <w:style w:type="character" w:customStyle="1" w:styleId="67">
    <w:name w:val="font61"/>
    <w:basedOn w:val="30"/>
    <w:autoRedefine/>
    <w:qFormat/>
    <w:uiPriority w:val="0"/>
    <w:rPr>
      <w:rFonts w:hint="eastAsia" w:ascii="方正仿宋_GBK" w:hAnsi="方正仿宋_GBK" w:eastAsia="方正仿宋_GBK" w:cs="方正仿宋_GBK"/>
      <w:color w:val="auto"/>
      <w:sz w:val="28"/>
      <w:szCs w:val="28"/>
      <w:u w:val="none"/>
    </w:rPr>
  </w:style>
  <w:style w:type="character" w:customStyle="1" w:styleId="68">
    <w:name w:val="font81"/>
    <w:basedOn w:val="30"/>
    <w:autoRedefine/>
    <w:qFormat/>
    <w:uiPriority w:val="0"/>
    <w:rPr>
      <w:rFonts w:ascii="Calibri" w:hAnsi="Calibri" w:cs="Calibri"/>
      <w:color w:val="auto"/>
      <w:sz w:val="28"/>
      <w:szCs w:val="28"/>
      <w:u w:val="none"/>
    </w:rPr>
  </w:style>
  <w:style w:type="paragraph" w:customStyle="1" w:styleId="69">
    <w:name w:val="正文（绿盟科技）"/>
    <w:autoRedefine/>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7899</Words>
  <Characters>8215</Characters>
  <Lines>66</Lines>
  <Paragraphs>18</Paragraphs>
  <TotalTime>7</TotalTime>
  <ScaleCrop>false</ScaleCrop>
  <LinksUpToDate>false</LinksUpToDate>
  <CharactersWithSpaces>8567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2024-05-17T01:12:00Z</dcterms:created>
  <dc:creator>DELL</dc:creator>
  <cp:lastModifiedBy>王的小公举</cp:lastModifiedBy>
  <cp:lastPrinted>2024-06-06T03:13:00Z</cp:lastPrinted>
  <dcterms:modified xsi:type="dcterms:W3CDTF">2024-06-13T02:59:55Z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674942EFE33F46F4A97C17C7EC9751E3_13</vt:lpwstr>
  </property>
</Properties>
</file>