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52"/>
          <w:szCs w:val="52"/>
          <w:lang w:val="en-US" w:eastAsia="zh-CN"/>
        </w:rPr>
      </w:pPr>
      <w:r>
        <w:rPr>
          <w:rFonts w:hint="eastAsia" w:ascii="仿宋_GB2312" w:hAnsi="仿宋_GB2312" w:eastAsia="仿宋_GB2312" w:cs="仿宋_GB2312"/>
          <w:sz w:val="52"/>
          <w:szCs w:val="52"/>
        </w:rPr>
        <w:t>成都汽车职业技学校</w:t>
      </w:r>
      <w:r>
        <w:rPr>
          <w:rFonts w:hint="eastAsia" w:ascii="仿宋_GB2312" w:hAnsi="仿宋_GB2312" w:eastAsia="仿宋_GB2312" w:cs="仿宋_GB2312"/>
          <w:sz w:val="52"/>
          <w:szCs w:val="52"/>
          <w:lang w:val="en-US" w:eastAsia="zh-CN"/>
        </w:rPr>
        <w:t>校园文化建设</w:t>
      </w:r>
      <w:r>
        <w:rPr>
          <w:rFonts w:hint="eastAsia" w:ascii="仿宋_GB2312" w:hAnsi="仿宋_GB2312" w:eastAsia="仿宋_GB2312" w:cs="仿宋_GB2312"/>
          <w:sz w:val="52"/>
          <w:szCs w:val="52"/>
          <w:lang w:val="en-US" w:eastAsia="zh-Hans"/>
        </w:rPr>
        <w:t>理念文化</w:t>
      </w:r>
      <w:r>
        <w:rPr>
          <w:rFonts w:hint="eastAsia" w:ascii="仿宋_GB2312" w:hAnsi="仿宋_GB2312" w:eastAsia="仿宋_GB2312" w:cs="仿宋_GB2312"/>
          <w:sz w:val="52"/>
          <w:szCs w:val="52"/>
          <w:lang w:val="en-US" w:eastAsia="zh-CN"/>
        </w:rPr>
        <w:t>咨询指导</w:t>
      </w:r>
      <w:r>
        <w:rPr>
          <w:rFonts w:hint="eastAsia" w:ascii="仿宋_GB2312" w:hAnsi="仿宋_GB2312" w:eastAsia="仿宋_GB2312" w:cs="仿宋_GB2312"/>
          <w:sz w:val="52"/>
          <w:szCs w:val="52"/>
          <w:lang w:val="en-US" w:eastAsia="zh-Hans"/>
        </w:rPr>
        <w:t>服务</w:t>
      </w:r>
      <w:r>
        <w:rPr>
          <w:rFonts w:hint="eastAsia" w:ascii="仿宋_GB2312" w:hAnsi="仿宋_GB2312" w:eastAsia="仿宋_GB2312" w:cs="仿宋_GB2312"/>
          <w:sz w:val="52"/>
          <w:szCs w:val="52"/>
          <w:lang w:val="en-US" w:eastAsia="zh-CN"/>
        </w:rPr>
        <w:t>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bookmarkStart w:id="3" w:name="_Toc27729"/>
      <w:bookmarkStart w:id="4" w:name="_Toc5765"/>
      <w:bookmarkStart w:id="5" w:name="_Toc17847"/>
      <w:bookmarkStart w:id="6" w:name="_Toc31281"/>
      <w:bookmarkStart w:id="7" w:name="_Toc12067"/>
      <w:bookmarkStart w:id="8" w:name="_Toc7942"/>
      <w:r>
        <w:rPr>
          <w:rFonts w:hint="eastAsia" w:ascii="宋体" w:hAnsi="宋体" w:cs="宋体"/>
          <w:b/>
          <w:sz w:val="24"/>
          <w:lang w:val="en-US" w:eastAsia="zh-Hans"/>
        </w:rPr>
        <w:t>成</w:t>
      </w:r>
      <w:r>
        <w:rPr>
          <w:rFonts w:hint="eastAsia" w:ascii="宋体" w:hAnsi="宋体" w:cs="宋体"/>
          <w:sz w:val="24"/>
          <w:u w:val="single"/>
          <w:lang w:val="en-US" w:eastAsia="zh-Hans"/>
        </w:rPr>
        <w:t>都汽车职业技术学校</w:t>
      </w:r>
      <w:bookmarkEnd w:id="3"/>
      <w:bookmarkEnd w:id="4"/>
      <w:bookmarkEnd w:id="5"/>
      <w:bookmarkEnd w:id="6"/>
      <w:bookmarkEnd w:id="7"/>
      <w:bookmarkEnd w:id="8"/>
      <w:r>
        <w:rPr>
          <w:rFonts w:hint="eastAsia" w:ascii="宋体" w:hAnsi="宋体" w:cs="宋体"/>
          <w:sz w:val="24"/>
          <w:u w:val="single"/>
          <w:lang w:val="en-US" w:eastAsia="zh-CN"/>
        </w:rPr>
        <w:t>校园文化建设</w:t>
      </w:r>
      <w:r>
        <w:rPr>
          <w:rFonts w:hint="eastAsia" w:ascii="宋体" w:hAnsi="宋体" w:cs="宋体"/>
          <w:sz w:val="24"/>
          <w:u w:val="single"/>
          <w:lang w:val="en-US" w:eastAsia="zh-Hans"/>
        </w:rPr>
        <w:t>理念文化</w:t>
      </w:r>
      <w:r>
        <w:rPr>
          <w:rFonts w:hint="eastAsia" w:ascii="宋体" w:hAnsi="宋体" w:cs="宋体"/>
          <w:sz w:val="24"/>
          <w:u w:val="single"/>
          <w:lang w:val="en-US" w:eastAsia="zh-CN"/>
        </w:rPr>
        <w:t>咨询指导服务</w:t>
      </w:r>
      <w:r>
        <w:rPr>
          <w:rFonts w:hint="eastAsia" w:ascii="宋体" w:hAnsi="宋体" w:cs="宋体"/>
          <w:sz w:val="24"/>
          <w:u w:val="single"/>
          <w:lang w:val="en-US" w:eastAsia="zh-Hans"/>
        </w:rPr>
        <w:t>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成都汽车职业技术学校校园文化建设理念文化咨询指导服务项目</w:t>
      </w:r>
    </w:p>
    <w:p>
      <w:pPr>
        <w:spacing w:line="360" w:lineRule="auto"/>
        <w:ind w:firstLine="480" w:firstLineChars="200"/>
        <w:rPr>
          <w:rFonts w:hint="default" w:ascii="宋体" w:hAnsi="宋体" w:cs="宋体" w:eastAsiaTheme="minorEastAsia"/>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CDQC20240723</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7"/>
        <w:ind w:firstLine="600" w:firstLineChars="250"/>
        <w:rPr>
          <w:rFonts w:hAnsi="宋体" w:cs="宋体"/>
          <w:sz w:val="24"/>
          <w:szCs w:val="24"/>
        </w:rPr>
      </w:pPr>
      <w:r>
        <w:rPr>
          <w:rFonts w:hint="eastAsia" w:hAnsi="宋体" w:cs="宋体"/>
          <w:sz w:val="24"/>
          <w:szCs w:val="24"/>
        </w:rPr>
        <w:t>1、具有独立承担民事责任的能力；</w:t>
      </w:r>
    </w:p>
    <w:p>
      <w:pPr>
        <w:pStyle w:val="17"/>
        <w:ind w:firstLine="600" w:firstLineChars="250"/>
        <w:rPr>
          <w:rFonts w:hAnsi="宋体" w:cs="宋体"/>
          <w:sz w:val="24"/>
          <w:szCs w:val="24"/>
        </w:rPr>
      </w:pPr>
      <w:r>
        <w:rPr>
          <w:rFonts w:hint="eastAsia" w:hAnsi="宋体" w:cs="宋体"/>
          <w:sz w:val="24"/>
          <w:szCs w:val="24"/>
        </w:rPr>
        <w:t>2、具有良好的商业信誉和健全的财务会计制度；</w:t>
      </w:r>
    </w:p>
    <w:p>
      <w:pPr>
        <w:pStyle w:val="17"/>
        <w:ind w:firstLine="600" w:firstLineChars="250"/>
        <w:rPr>
          <w:rFonts w:hAnsi="宋体" w:cs="宋体"/>
          <w:sz w:val="24"/>
          <w:szCs w:val="24"/>
        </w:rPr>
      </w:pPr>
      <w:r>
        <w:rPr>
          <w:rFonts w:hint="eastAsia" w:hAnsi="宋体" w:cs="宋体"/>
          <w:sz w:val="24"/>
          <w:szCs w:val="24"/>
        </w:rPr>
        <w:t>3、具有履行合同所必需的设备和专业技术能力；</w:t>
      </w:r>
    </w:p>
    <w:p>
      <w:pPr>
        <w:pStyle w:val="17"/>
        <w:ind w:firstLine="600" w:firstLineChars="250"/>
        <w:rPr>
          <w:rFonts w:hAnsi="宋体" w:cs="宋体"/>
          <w:sz w:val="24"/>
          <w:szCs w:val="24"/>
        </w:rPr>
      </w:pPr>
      <w:r>
        <w:rPr>
          <w:rFonts w:hint="eastAsia" w:hAnsi="宋体" w:cs="宋体"/>
          <w:sz w:val="24"/>
          <w:szCs w:val="24"/>
        </w:rPr>
        <w:t>4、具有依法缴纳税收和社会保障资金的良好记录；</w:t>
      </w:r>
    </w:p>
    <w:p>
      <w:pPr>
        <w:pStyle w:val="17"/>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pPr>
        <w:pStyle w:val="17"/>
        <w:ind w:firstLine="600" w:firstLineChars="250"/>
        <w:rPr>
          <w:rFonts w:hAnsi="宋体" w:cs="宋体"/>
          <w:sz w:val="24"/>
          <w:szCs w:val="24"/>
        </w:rPr>
      </w:pPr>
      <w:r>
        <w:rPr>
          <w:rFonts w:hint="eastAsia" w:hAnsi="宋体" w:cs="宋体"/>
          <w:sz w:val="24"/>
          <w:szCs w:val="24"/>
        </w:rPr>
        <w:t>6、法律、行政法规规定的其他条件；</w:t>
      </w:r>
    </w:p>
    <w:p>
      <w:pPr>
        <w:pStyle w:val="17"/>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7"/>
        <w:ind w:firstLine="602" w:firstLineChars="250"/>
        <w:rPr>
          <w:rFonts w:hAnsi="宋体" w:cs="宋体"/>
          <w:b/>
          <w:snapToGrid w:val="0"/>
          <w:sz w:val="24"/>
          <w:szCs w:val="24"/>
        </w:rPr>
      </w:pPr>
      <w:r>
        <w:rPr>
          <w:rFonts w:hint="eastAsia" w:hAnsi="宋体" w:cs="宋体"/>
          <w:b/>
          <w:snapToGrid w:val="0"/>
          <w:sz w:val="24"/>
          <w:szCs w:val="24"/>
        </w:rPr>
        <w:t>三、比选文件发售方式：</w:t>
      </w:r>
      <w:r>
        <w:rPr>
          <w:rFonts w:hint="eastAsia" w:hAnsi="宋体" w:cs="宋体"/>
          <w:color w:val="FF0000"/>
          <w:sz w:val="24"/>
          <w:lang w:val="en-US" w:eastAsia="zh-CN"/>
        </w:rPr>
        <w:t>现场获取</w:t>
      </w:r>
    </w:p>
    <w:p>
      <w:pPr>
        <w:pStyle w:val="17"/>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成都汽车职业技术学校总务处（成都市龙泉驿区幸福路388号）</w:t>
      </w:r>
    </w:p>
    <w:p>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sz w:val="24"/>
          <w:lang w:eastAsia="zh-CN"/>
        </w:rPr>
        <w:t>：</w:t>
      </w:r>
      <w:r>
        <w:rPr>
          <w:rFonts w:hint="eastAsia" w:ascii="宋体" w:hAnsi="宋体" w:cs="宋体"/>
          <w:sz w:val="24"/>
          <w:lang w:val="en-US" w:eastAsia="zh-CN"/>
        </w:rPr>
        <w:t>2024年7月26日13时</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pPr>
        <w:pStyle w:val="17"/>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7"/>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7"/>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w:t>
      </w:r>
      <w:r>
        <w:rPr>
          <w:rFonts w:hint="eastAsia" w:ascii="宋体" w:hAnsi="宋体" w:cs="宋体"/>
          <w:b/>
          <w:bCs/>
          <w:color w:val="FF0000"/>
          <w:sz w:val="24"/>
          <w:lang w:val="en-US" w:eastAsia="zh-CN"/>
        </w:rPr>
        <w:t>4</w:t>
      </w:r>
      <w:r>
        <w:rPr>
          <w:rFonts w:hint="eastAsia" w:ascii="宋体" w:hAnsi="宋体" w:cs="宋体"/>
          <w:b/>
          <w:bCs/>
          <w:color w:val="FF0000"/>
          <w:sz w:val="24"/>
        </w:rPr>
        <w:t>年</w:t>
      </w:r>
      <w:r>
        <w:rPr>
          <w:rFonts w:hint="eastAsia" w:ascii="宋体" w:hAnsi="宋体" w:cs="宋体"/>
          <w:b/>
          <w:bCs/>
          <w:color w:val="FF0000"/>
          <w:sz w:val="24"/>
          <w:lang w:val="en-US" w:eastAsia="zh-CN"/>
        </w:rPr>
        <w:t>7</w:t>
      </w:r>
      <w:r>
        <w:rPr>
          <w:rFonts w:hint="eastAsia" w:ascii="宋体" w:hAnsi="宋体" w:cs="宋体"/>
          <w:b/>
          <w:bCs/>
          <w:color w:val="FF0000"/>
          <w:sz w:val="24"/>
        </w:rPr>
        <w:t>月</w:t>
      </w:r>
      <w:r>
        <w:rPr>
          <w:rFonts w:hint="eastAsia" w:ascii="宋体" w:hAnsi="宋体" w:cs="宋体"/>
          <w:b/>
          <w:bCs/>
          <w:color w:val="FF0000"/>
          <w:sz w:val="24"/>
          <w:lang w:val="en-US" w:eastAsia="zh-CN"/>
        </w:rPr>
        <w:t>26</w:t>
      </w:r>
      <w:r>
        <w:rPr>
          <w:rFonts w:hint="eastAsia" w:ascii="宋体" w:hAnsi="宋体" w:cs="宋体"/>
          <w:b/>
          <w:bCs/>
          <w:color w:val="FF0000"/>
          <w:sz w:val="24"/>
        </w:rPr>
        <w:t>日14时00分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hint="default" w:ascii="宋体" w:hAnsi="宋体" w:cs="宋体" w:eastAsiaTheme="minorEastAsia"/>
          <w:bCs/>
          <w:sz w:val="24"/>
          <w:lang w:val="en-US" w:eastAsia="zh-CN"/>
        </w:rPr>
      </w:pPr>
      <w:r>
        <w:rPr>
          <w:rFonts w:hint="eastAsia" w:ascii="宋体" w:hAnsi="宋体" w:cs="宋体"/>
          <w:bCs/>
          <w:sz w:val="24"/>
        </w:rPr>
        <w:t>联 系 人：</w:t>
      </w:r>
      <w:r>
        <w:rPr>
          <w:rFonts w:hint="eastAsia" w:ascii="宋体" w:hAnsi="宋体" w:cs="宋体"/>
          <w:bCs/>
          <w:sz w:val="24"/>
          <w:lang w:val="en-US" w:eastAsia="zh-CN"/>
        </w:rPr>
        <w:t>刘老师</w:t>
      </w:r>
    </w:p>
    <w:p>
      <w:pPr>
        <w:spacing w:line="360" w:lineRule="auto"/>
        <w:ind w:firstLine="960" w:firstLineChars="400"/>
        <w:rPr>
          <w:rFonts w:hint="default"/>
          <w:bCs/>
          <w:lang w:val="en-US"/>
        </w:rPr>
      </w:pPr>
      <w:r>
        <w:rPr>
          <w:rFonts w:hint="eastAsia" w:ascii="宋体" w:hAnsi="宋体" w:cs="宋体"/>
          <w:bCs/>
          <w:sz w:val="24"/>
        </w:rPr>
        <w:t>联系电话：</w:t>
      </w:r>
      <w:r>
        <w:rPr>
          <w:rFonts w:hint="eastAsia" w:ascii="宋体" w:hAnsi="宋体" w:cs="宋体"/>
          <w:bCs/>
          <w:sz w:val="24"/>
          <w:lang w:val="en-US" w:eastAsia="zh-CN"/>
        </w:rPr>
        <w:t>84851799</w:t>
      </w: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9" w:name="_Toc955"/>
      <w:r>
        <w:rPr>
          <w:rFonts w:hint="eastAsia"/>
          <w:sz w:val="36"/>
          <w:szCs w:val="28"/>
        </w:rPr>
        <w:t>投标人须知</w:t>
      </w:r>
      <w:bookmarkEnd w:id="9"/>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成都汽车职业技术学校校园文化建设理念文化咨询指导服务项目</w:t>
      </w:r>
    </w:p>
    <w:p>
      <w:pPr>
        <w:jc w:val="left"/>
        <w:rPr>
          <w:rFonts w:ascii="宋体" w:hAnsi="宋体" w:eastAsia="宋体" w:cs="宋体"/>
          <w:sz w:val="32"/>
          <w:szCs w:val="32"/>
        </w:rPr>
      </w:pPr>
      <w:r>
        <w:rPr>
          <w:rFonts w:hint="eastAsia" w:ascii="宋体" w:hAnsi="宋体" w:eastAsia="宋体" w:cs="宋体"/>
          <w:sz w:val="32"/>
          <w:szCs w:val="32"/>
        </w:rPr>
        <w:t>编号：</w:t>
      </w:r>
    </w:p>
    <w:p>
      <w:pPr>
        <w:jc w:val="left"/>
        <w:rPr>
          <w:rFonts w:hint="eastAsia" w:ascii="宋体" w:hAnsi="宋体" w:eastAsia="宋体" w:cs="宋体"/>
          <w:sz w:val="32"/>
          <w:szCs w:val="32"/>
          <w:lang w:val="en-US" w:eastAsia="zh-CN"/>
        </w:rPr>
      </w:pPr>
      <w:r>
        <w:rPr>
          <w:rFonts w:hint="eastAsia" w:ascii="宋体" w:hAnsi="宋体" w:eastAsia="宋体" w:cs="宋体"/>
          <w:sz w:val="32"/>
          <w:szCs w:val="32"/>
        </w:rPr>
        <w:t>最高限价：</w:t>
      </w:r>
      <w:r>
        <w:rPr>
          <w:rFonts w:hint="eastAsia" w:ascii="宋体" w:hAnsi="宋体" w:eastAsia="宋体" w:cs="宋体"/>
          <w:sz w:val="32"/>
          <w:szCs w:val="32"/>
          <w:lang w:val="en-US" w:eastAsia="zh-CN"/>
        </w:rPr>
        <w:t>49600.00元</w:t>
      </w:r>
    </w:p>
    <w:p>
      <w:pPr>
        <w:jc w:val="left"/>
        <w:rPr>
          <w:rFonts w:ascii="宋体" w:hAnsi="宋体" w:eastAsia="宋体" w:cs="宋体"/>
          <w:sz w:val="32"/>
          <w:szCs w:val="32"/>
        </w:rPr>
      </w:pPr>
      <w:r>
        <w:rPr>
          <w:rFonts w:hint="eastAsia" w:ascii="宋体" w:hAnsi="宋体" w:eastAsia="宋体" w:cs="宋体"/>
          <w:sz w:val="32"/>
          <w:szCs w:val="32"/>
        </w:rPr>
        <w:t>1.建设清单</w:t>
      </w:r>
    </w:p>
    <w:tbl>
      <w:tblPr>
        <w:tblStyle w:val="12"/>
        <w:tblpPr w:leftFromText="180" w:rightFromText="180" w:vertAnchor="text" w:horzAnchor="margin" w:tblpY="44"/>
        <w:tblOverlap w:val="never"/>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079"/>
        <w:gridCol w:w="92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0"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607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928"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73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0"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6079" w:type="dxa"/>
            <w:vAlign w:val="center"/>
          </w:tcPr>
          <w:p>
            <w:pPr>
              <w:pStyle w:val="4"/>
              <w:jc w:val="center"/>
              <w:rPr>
                <w:rFonts w:ascii="宋体" w:hAnsi="宋体" w:eastAsia="宋体" w:cs="宋体"/>
                <w:kern w:val="0"/>
                <w:sz w:val="20"/>
              </w:rPr>
            </w:pPr>
            <w:r>
              <w:rPr>
                <w:rFonts w:hint="eastAsia" w:ascii="仿宋" w:hAnsi="仿宋" w:eastAsia="仿宋" w:cs="仿宋"/>
                <w:i w:val="0"/>
                <w:iCs w:val="0"/>
                <w:color w:val="000000"/>
                <w:sz w:val="28"/>
                <w:szCs w:val="28"/>
                <w:u w:val="none"/>
                <w:lang w:val="en-US" w:eastAsia="zh-CN"/>
              </w:rPr>
              <w:t>理念文化的优化、命名</w:t>
            </w:r>
          </w:p>
        </w:tc>
        <w:tc>
          <w:tcPr>
            <w:tcW w:w="928" w:type="dxa"/>
            <w:vAlign w:val="center"/>
          </w:tcPr>
          <w:p>
            <w:pPr>
              <w:pStyle w:val="4"/>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项</w:t>
            </w:r>
          </w:p>
        </w:tc>
        <w:tc>
          <w:tcPr>
            <w:tcW w:w="73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r>
    </w:tbl>
    <w:p>
      <w:pPr>
        <w:spacing w:line="360" w:lineRule="auto"/>
        <w:ind w:firstLine="480" w:firstLineChars="200"/>
        <w:rPr>
          <w:rFonts w:ascii="方正黑体_GBK" w:eastAsia="方正黑体_GBK"/>
          <w:sz w:val="24"/>
        </w:rPr>
      </w:pPr>
    </w:p>
    <w:p>
      <w:pPr>
        <w:spacing w:line="360" w:lineRule="auto"/>
        <w:ind w:firstLine="480" w:firstLineChars="200"/>
        <w:rPr>
          <w:rFonts w:ascii="方正黑体_GBK" w:eastAsia="方正黑体_GBK"/>
          <w:sz w:val="24"/>
        </w:rPr>
      </w:pPr>
    </w:p>
    <w:p>
      <w:pPr>
        <w:spacing w:line="360" w:lineRule="auto"/>
        <w:ind w:firstLine="480" w:firstLineChars="200"/>
        <w:rPr>
          <w:rFonts w:ascii="方正黑体_GBK" w:eastAsia="方正黑体_GBK"/>
          <w:sz w:val="24"/>
        </w:rPr>
      </w:pPr>
    </w:p>
    <w:p>
      <w:pPr>
        <w:spacing w:line="360" w:lineRule="auto"/>
        <w:ind w:firstLine="480" w:firstLineChars="200"/>
        <w:rPr>
          <w:rFonts w:ascii="方正黑体_GBK" w:eastAsia="方正黑体_GBK"/>
          <w:sz w:val="24"/>
        </w:rPr>
      </w:pPr>
    </w:p>
    <w:p>
      <w:pPr>
        <w:jc w:val="left"/>
        <w:rPr>
          <w:rFonts w:ascii="宋体" w:hAnsi="宋体" w:eastAsia="宋体" w:cs="宋体"/>
          <w:sz w:val="32"/>
          <w:szCs w:val="32"/>
        </w:rPr>
      </w:pPr>
      <w:r>
        <w:rPr>
          <w:rFonts w:hint="eastAsia" w:ascii="宋体" w:hAnsi="宋体" w:eastAsia="宋体" w:cs="宋体"/>
          <w:sz w:val="32"/>
          <w:szCs w:val="32"/>
        </w:rPr>
        <w:t>2.技术参数</w:t>
      </w:r>
    </w:p>
    <w:tbl>
      <w:tblPr>
        <w:tblStyle w:val="11"/>
        <w:tblpPr w:leftFromText="180" w:rightFromText="180" w:vertAnchor="text" w:horzAnchor="margin" w:tblpY="98"/>
        <w:tblOverlap w:val="never"/>
        <w:tblW w:w="8335" w:type="dxa"/>
        <w:tblInd w:w="0" w:type="dxa"/>
        <w:tblLayout w:type="fixed"/>
        <w:tblCellMar>
          <w:top w:w="0" w:type="dxa"/>
          <w:left w:w="108" w:type="dxa"/>
          <w:bottom w:w="0" w:type="dxa"/>
          <w:right w:w="108" w:type="dxa"/>
        </w:tblCellMar>
      </w:tblPr>
      <w:tblGrid>
        <w:gridCol w:w="1644"/>
        <w:gridCol w:w="824"/>
        <w:gridCol w:w="5867"/>
      </w:tblGrid>
      <w:tr>
        <w:trPr>
          <w:trHeight w:val="30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pPr>
            <w:r>
              <w:rPr>
                <w:rFonts w:hint="eastAsia"/>
              </w:rPr>
              <w:t>项目名称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数量</w:t>
            </w:r>
          </w:p>
        </w:tc>
        <w:tc>
          <w:tcPr>
            <w:tcW w:w="5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Theme="minorEastAsia" w:hAnsiTheme="minorEastAsia" w:cstheme="minorEastAsia"/>
                <w:color w:val="000000"/>
                <w:sz w:val="24"/>
              </w:rPr>
            </w:pPr>
            <w:r>
              <w:rPr>
                <w:rFonts w:hint="eastAsia" w:asciiTheme="minorEastAsia" w:hAnsiTheme="minorEastAsia" w:cstheme="minorEastAsia"/>
                <w:color w:val="000000"/>
                <w:sz w:val="24"/>
              </w:rPr>
              <w:t>服务内容与要求</w:t>
            </w:r>
          </w:p>
        </w:tc>
      </w:tr>
      <w:tr>
        <w:tblPrEx>
          <w:tblCellMar>
            <w:top w:w="0" w:type="dxa"/>
            <w:left w:w="108" w:type="dxa"/>
            <w:bottom w:w="0" w:type="dxa"/>
            <w:right w:w="108" w:type="dxa"/>
          </w:tblCellMar>
        </w:tblPrEx>
        <w:trPr>
          <w:trHeight w:val="9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仿宋" w:hAnsi="仿宋" w:eastAsia="仿宋" w:cs="仿宋"/>
                <w:i w:val="0"/>
                <w:iCs w:val="0"/>
                <w:color w:val="000000"/>
                <w:sz w:val="28"/>
                <w:szCs w:val="28"/>
                <w:u w:val="none"/>
                <w:lang w:val="en-US" w:eastAsia="zh-CN"/>
              </w:rPr>
              <w:t>理念文化的优化、文化命名</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rPr>
              <w:t>1</w:t>
            </w:r>
            <w:r>
              <w:rPr>
                <w:rFonts w:hint="eastAsia" w:asciiTheme="minorEastAsia" w:hAnsiTheme="minorEastAsia" w:cstheme="minorEastAsia"/>
                <w:color w:val="000000"/>
                <w:lang w:val="en-US" w:eastAsia="zh-CN"/>
              </w:rPr>
              <w:t>项</w:t>
            </w:r>
          </w:p>
        </w:tc>
        <w:tc>
          <w:tcPr>
            <w:tcW w:w="5867" w:type="dxa"/>
            <w:tcBorders>
              <w:top w:val="single" w:color="000000" w:sz="4" w:space="0"/>
              <w:left w:val="single" w:color="000000" w:sz="4" w:space="0"/>
              <w:bottom w:val="single" w:color="000000" w:sz="4" w:space="0"/>
              <w:right w:val="single" w:color="000000" w:sz="4" w:space="0"/>
            </w:tcBorders>
            <w:shd w:val="clear" w:color="auto" w:fill="auto"/>
          </w:tcPr>
          <w:p>
            <w:pPr>
              <w:pStyle w:val="23"/>
              <w:keepNext w:val="0"/>
              <w:keepLines w:val="0"/>
              <w:pageBreakBefore w:val="0"/>
              <w:widowControl w:val="0"/>
              <w:numPr>
                <w:ilvl w:val="0"/>
                <w:numId w:val="0"/>
              </w:numPr>
              <w:kinsoku/>
              <w:wordWrap/>
              <w:overflowPunct/>
              <w:topLinePunct w:val="0"/>
              <w:autoSpaceDE/>
              <w:autoSpaceDN/>
              <w:bidi w:val="0"/>
              <w:adjustRightInd/>
              <w:snapToGrid/>
              <w:spacing w:before="126" w:beforeLines="40" w:after="126" w:afterLines="40" w:line="560" w:lineRule="exact"/>
              <w:ind w:firstLine="640" w:firstLineChars="200"/>
              <w:jc w:val="both"/>
              <w:textAlignment w:val="auto"/>
              <w:outlineLvl w:val="0"/>
              <w:rPr>
                <w:rFonts w:hint="default" w:ascii="黑体" w:hAnsi="黑体" w:eastAsia="黑体" w:cs="黑体"/>
                <w:b w:val="0"/>
                <w:bCs w:val="0"/>
                <w:color w:val="222222"/>
                <w:sz w:val="32"/>
                <w:szCs w:val="32"/>
                <w:shd w:val="clear" w:color="auto" w:fill="FFFFFF"/>
                <w:lang w:val="en-US" w:eastAsia="zh-CN"/>
              </w:rPr>
            </w:pPr>
            <w:bookmarkStart w:id="10" w:name="_Toc7775"/>
            <w:r>
              <w:rPr>
                <w:rFonts w:hint="eastAsia" w:ascii="黑体" w:hAnsi="黑体" w:eastAsia="黑体" w:cs="黑体"/>
                <w:b w:val="0"/>
                <w:bCs w:val="0"/>
                <w:color w:val="222222"/>
                <w:sz w:val="32"/>
                <w:szCs w:val="32"/>
                <w:shd w:val="clear" w:color="auto" w:fill="FFFFFF"/>
                <w:lang w:val="en-US" w:eastAsia="zh-CN"/>
              </w:rPr>
              <w:t>一、服务内容</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outlineLvl w:val="0"/>
              <w:rPr>
                <w:rFonts w:hint="default" w:ascii="楷体" w:hAnsi="楷体" w:eastAsia="楷体" w:cs="楷体"/>
                <w:b/>
                <w:bCs/>
                <w:color w:val="222222"/>
                <w:sz w:val="32"/>
                <w:szCs w:val="32"/>
                <w:shd w:val="clear" w:color="auto" w:fill="FFFFFF"/>
                <w:lang w:val="en-US" w:eastAsia="zh-CN"/>
              </w:rPr>
            </w:pPr>
            <w:bookmarkStart w:id="11" w:name="_Toc29691"/>
            <w:r>
              <w:rPr>
                <w:rFonts w:hint="eastAsia" w:ascii="楷体" w:hAnsi="楷体" w:eastAsia="楷体" w:cs="楷体"/>
                <w:b/>
                <w:bCs/>
                <w:color w:val="000000"/>
                <w:spacing w:val="6"/>
                <w:kern w:val="21"/>
                <w:sz w:val="32"/>
                <w:szCs w:val="32"/>
                <w:lang w:val="en-US" w:eastAsia="zh-CN"/>
              </w:rPr>
              <w:t>（一）对</w:t>
            </w:r>
            <w:r>
              <w:rPr>
                <w:rFonts w:hint="eastAsia" w:ascii="楷体" w:hAnsi="楷体" w:eastAsia="楷体" w:cs="楷体"/>
                <w:b/>
                <w:bCs/>
                <w:color w:val="222222"/>
                <w:sz w:val="32"/>
                <w:szCs w:val="32"/>
                <w:shd w:val="clear" w:color="auto" w:fill="FFFFFF"/>
                <w:lang w:val="en-US" w:eastAsia="zh-CN"/>
              </w:rPr>
              <w:t>理念文化</w:t>
            </w:r>
            <w:bookmarkEnd w:id="11"/>
            <w:r>
              <w:rPr>
                <w:rFonts w:hint="eastAsia" w:ascii="楷体" w:hAnsi="楷体" w:eastAsia="楷体" w:cs="楷体"/>
                <w:b/>
                <w:bCs/>
                <w:color w:val="222222"/>
                <w:sz w:val="32"/>
                <w:szCs w:val="32"/>
                <w:shd w:val="clear" w:color="auto" w:fill="FFFFFF"/>
                <w:lang w:val="en-US" w:eastAsia="zh-CN"/>
              </w:rPr>
              <w:t>的重新梳理、总结、提炼、优化开展咨询指导服务</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仿宋" w:hAnsi="仿宋" w:eastAsia="仿宋" w:cs="Times New Roman"/>
                <w:color w:val="000000"/>
                <w:spacing w:val="6"/>
                <w:kern w:val="21"/>
                <w:sz w:val="32"/>
                <w:szCs w:val="32"/>
                <w:lang w:val="en-US" w:eastAsia="zh-CN"/>
              </w:rPr>
            </w:pPr>
            <w:r>
              <w:rPr>
                <w:rFonts w:hint="eastAsia" w:ascii="仿宋" w:hAnsi="仿宋" w:eastAsia="仿宋" w:cs="Times New Roman"/>
                <w:color w:val="000000"/>
                <w:spacing w:val="6"/>
                <w:kern w:val="21"/>
                <w:sz w:val="32"/>
                <w:szCs w:val="32"/>
                <w:lang w:val="en-US" w:eastAsia="zh-CN"/>
              </w:rPr>
              <w:t>以习近平新时代中国特色社会主义思想和社会主义核心价值观为引领，适应新阶段、新格局下对职业教育提出的新要求，围绕学校总体发展目标，服务方通过开展专项调研、专家内部研讨、专家到校研讨等活动，对学校的办学理念、办学愿景、校训、校风、教风和学风理念文化开展咨询指导服务，交付的成果为《</w:t>
            </w:r>
            <w:r>
              <w:rPr>
                <w:rFonts w:hint="eastAsia" w:ascii="仿宋" w:hAnsi="仿宋" w:eastAsia="仿宋" w:cs="Times New Roman"/>
                <w:color w:val="000000"/>
                <w:spacing w:val="6"/>
                <w:kern w:val="21"/>
                <w:sz w:val="32"/>
                <w:szCs w:val="32"/>
                <w:lang w:val="en-US" w:eastAsia="zh-Hans"/>
              </w:rPr>
              <w:t>成都汽车职业技术学校理念文化</w:t>
            </w:r>
            <w:r>
              <w:rPr>
                <w:rFonts w:hint="eastAsia" w:ascii="仿宋" w:hAnsi="仿宋" w:eastAsia="仿宋" w:cs="Times New Roman"/>
                <w:color w:val="000000"/>
                <w:spacing w:val="6"/>
                <w:kern w:val="21"/>
                <w:sz w:val="32"/>
                <w:szCs w:val="32"/>
                <w:lang w:val="en-US" w:eastAsia="zh-CN"/>
              </w:rPr>
              <w:t>》解读文本。</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outlineLvl w:val="0"/>
              <w:rPr>
                <w:rFonts w:hint="default" w:ascii="楷体" w:hAnsi="楷体" w:eastAsia="楷体" w:cs="楷体"/>
                <w:b/>
                <w:bCs/>
                <w:color w:val="000000"/>
                <w:spacing w:val="6"/>
                <w:kern w:val="21"/>
                <w:sz w:val="32"/>
                <w:szCs w:val="32"/>
                <w:lang w:val="en-US" w:eastAsia="zh-CN"/>
              </w:rPr>
            </w:pPr>
            <w:bookmarkStart w:id="12" w:name="_Toc27739"/>
            <w:r>
              <w:rPr>
                <w:rFonts w:hint="eastAsia" w:ascii="楷体" w:hAnsi="楷体" w:eastAsia="楷体" w:cs="楷体"/>
                <w:b/>
                <w:bCs/>
                <w:color w:val="000000"/>
                <w:spacing w:val="6"/>
                <w:kern w:val="21"/>
                <w:sz w:val="32"/>
                <w:szCs w:val="32"/>
                <w:lang w:val="en-US" w:eastAsia="zh-CN"/>
              </w:rPr>
              <w:t>（二）对学校重要的楼宇建筑、校内2个湖泊的</w:t>
            </w:r>
            <w:r>
              <w:rPr>
                <w:rFonts w:hint="eastAsia" w:ascii="楷体" w:hAnsi="楷体" w:eastAsia="楷体" w:cs="楷体"/>
                <w:b/>
                <w:bCs/>
                <w:color w:val="222222"/>
                <w:sz w:val="32"/>
                <w:szCs w:val="32"/>
                <w:shd w:val="clear" w:color="auto" w:fill="FFFFFF"/>
                <w:lang w:val="en-US" w:eastAsia="zh-CN"/>
              </w:rPr>
              <w:t>文化命名</w:t>
            </w:r>
            <w:bookmarkEnd w:id="12"/>
            <w:r>
              <w:rPr>
                <w:rFonts w:hint="eastAsia" w:ascii="楷体" w:hAnsi="楷体" w:eastAsia="楷体" w:cs="楷体"/>
                <w:b/>
                <w:bCs/>
                <w:color w:val="222222"/>
                <w:sz w:val="32"/>
                <w:szCs w:val="32"/>
                <w:shd w:val="clear" w:color="auto" w:fill="FFFFFF"/>
                <w:lang w:val="en-US" w:eastAsia="zh-CN"/>
              </w:rPr>
              <w:t>开展咨询指导服务</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仿宋" w:hAnsi="仿宋" w:eastAsia="仿宋" w:cs="Times New Roman"/>
                <w:color w:val="000000"/>
                <w:spacing w:val="6"/>
                <w:kern w:val="21"/>
                <w:sz w:val="32"/>
                <w:szCs w:val="32"/>
                <w:lang w:val="en-US" w:eastAsia="zh-CN" w:bidi="ar-SA"/>
              </w:rPr>
            </w:pPr>
            <w:r>
              <w:rPr>
                <w:rFonts w:hint="eastAsia" w:ascii="仿宋" w:hAnsi="仿宋" w:eastAsia="仿宋" w:cs="Times New Roman"/>
                <w:color w:val="000000"/>
                <w:spacing w:val="6"/>
                <w:kern w:val="21"/>
                <w:sz w:val="32"/>
                <w:szCs w:val="32"/>
                <w:lang w:val="en-US" w:eastAsia="zh-CN" w:bidi="ar-SA"/>
              </w:rPr>
              <w:t>文化命名设计源于学校理念文化，体现学校的丰厚文化内涵，有利于培育学校文化品位；与所处的地理位置、自然环境和建筑功能紧密相连，体现人文性、系统性和适用性；用词简明得体，音韵朗朗上口，着眼于长远和相对稳定性。服务方根据学校实际情况，对学校重要的楼宇建筑、校内2个湖泊的文化命名开展咨询指导服务，交付的成果为让学校满意认可的命名成果。</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219" w:beforeLines="70" w:after="126" w:afterLines="40" w:line="560" w:lineRule="exact"/>
              <w:ind w:firstLine="640" w:firstLineChars="200"/>
              <w:jc w:val="both"/>
              <w:textAlignment w:val="auto"/>
              <w:outlineLvl w:val="0"/>
              <w:rPr>
                <w:rFonts w:hint="eastAsia" w:ascii="黑体" w:hAnsi="黑体" w:eastAsia="黑体" w:cs="黑体"/>
                <w:b w:val="0"/>
                <w:bCs w:val="0"/>
                <w:color w:val="222222"/>
                <w:sz w:val="32"/>
                <w:szCs w:val="32"/>
                <w:shd w:val="clear" w:color="auto" w:fill="FFFFFF"/>
                <w:lang w:val="en-US" w:eastAsia="zh-CN"/>
              </w:rPr>
            </w:pPr>
            <w:bookmarkStart w:id="13" w:name="_Toc6425"/>
            <w:bookmarkStart w:id="14" w:name="_Toc27795"/>
            <w:r>
              <w:rPr>
                <w:rFonts w:hint="eastAsia" w:ascii="黑体" w:hAnsi="黑体" w:eastAsia="黑体" w:cs="黑体"/>
                <w:b w:val="0"/>
                <w:bCs w:val="0"/>
                <w:color w:val="222222"/>
                <w:sz w:val="32"/>
                <w:szCs w:val="32"/>
                <w:shd w:val="clear" w:color="auto" w:fill="FFFFFF"/>
                <w:lang w:val="en-US" w:eastAsia="zh-CN"/>
              </w:rPr>
              <w:t>二、服务要求</w:t>
            </w:r>
            <w:bookmarkEnd w:id="13"/>
            <w:bookmarkEnd w:id="14"/>
          </w:p>
          <w:p>
            <w:pPr>
              <w:pStyle w:val="9"/>
              <w:widowControl/>
              <w:spacing w:beforeAutospacing="0" w:afterAutospacing="0" w:line="576" w:lineRule="exact"/>
              <w:ind w:firstLine="645"/>
              <w:jc w:val="both"/>
              <w:textAlignment w:val="baseline"/>
              <w:rPr>
                <w:rFonts w:ascii="仿宋" w:hAnsi="仿宋" w:eastAsia="仿宋" w:cs="仿宋"/>
                <w:sz w:val="32"/>
                <w:szCs w:val="32"/>
              </w:rPr>
            </w:pPr>
            <w:r>
              <w:rPr>
                <w:rFonts w:hint="eastAsia" w:ascii="仿宋" w:hAnsi="仿宋" w:eastAsia="仿宋" w:cs="仿宋"/>
                <w:sz w:val="32"/>
                <w:szCs w:val="32"/>
                <w:lang w:val="en-US" w:eastAsia="zh-CN"/>
              </w:rPr>
              <w:t>服务方</w:t>
            </w:r>
            <w:r>
              <w:rPr>
                <w:rFonts w:hint="eastAsia" w:ascii="仿宋" w:hAnsi="仿宋" w:eastAsia="仿宋" w:cs="仿宋"/>
                <w:sz w:val="32"/>
                <w:szCs w:val="32"/>
              </w:rPr>
              <w:t>组织专家按时按质完成对学校</w:t>
            </w:r>
            <w:r>
              <w:rPr>
                <w:rFonts w:hint="eastAsia" w:ascii="仿宋" w:hAnsi="仿宋" w:eastAsia="仿宋" w:cs="仿宋"/>
                <w:sz w:val="32"/>
                <w:szCs w:val="32"/>
                <w:lang w:val="en-US" w:eastAsia="zh-CN"/>
              </w:rPr>
              <w:t>理念文化优化</w:t>
            </w:r>
            <w:r>
              <w:rPr>
                <w:rFonts w:hint="eastAsia" w:ascii="仿宋" w:hAnsi="仿宋" w:eastAsia="仿宋" w:cs="仿宋"/>
                <w:sz w:val="32"/>
                <w:szCs w:val="32"/>
              </w:rPr>
              <w:t>的</w:t>
            </w:r>
            <w:r>
              <w:rPr>
                <w:rFonts w:hint="eastAsia" w:ascii="仿宋" w:hAnsi="仿宋" w:eastAsia="仿宋" w:cs="仿宋"/>
                <w:sz w:val="32"/>
                <w:szCs w:val="32"/>
                <w:lang w:val="en-US" w:eastAsia="zh-CN"/>
              </w:rPr>
              <w:t>咨询指导</w:t>
            </w:r>
            <w:r>
              <w:rPr>
                <w:rFonts w:hint="eastAsia" w:ascii="仿宋" w:hAnsi="仿宋" w:eastAsia="仿宋" w:cs="仿宋"/>
                <w:sz w:val="32"/>
                <w:szCs w:val="32"/>
              </w:rPr>
              <w:t>工作，应达到以下服务要求：</w:t>
            </w:r>
          </w:p>
          <w:p>
            <w:pPr>
              <w:pStyle w:val="9"/>
              <w:widowControl/>
              <w:numPr>
                <w:ilvl w:val="0"/>
                <w:numId w:val="3"/>
              </w:numPr>
              <w:spacing w:beforeAutospacing="0" w:afterAutospacing="0" w:line="576" w:lineRule="exact"/>
              <w:ind w:firstLine="645"/>
              <w:jc w:val="both"/>
              <w:textAlignment w:val="baseline"/>
              <w:rPr>
                <w:rFonts w:ascii="仿宋" w:hAnsi="仿宋" w:eastAsia="仿宋" w:cs="仿宋"/>
                <w:sz w:val="32"/>
                <w:szCs w:val="32"/>
              </w:rPr>
            </w:pPr>
            <w:r>
              <w:rPr>
                <w:rFonts w:hint="eastAsia" w:ascii="仿宋" w:hAnsi="仿宋" w:eastAsia="仿宋" w:cs="仿宋"/>
                <w:sz w:val="32"/>
                <w:szCs w:val="32"/>
              </w:rPr>
              <w:t>咨询指导要做到服务及时、针对性强、富有成效，能为项目建设提供准确有用的信息。</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lang w:eastAsia="zh-CN"/>
              </w:rPr>
              <w:t>（</w:t>
            </w:r>
            <w:r>
              <w:rPr>
                <w:rFonts w:hint="eastAsia" w:ascii="仿宋" w:hAnsi="仿宋" w:eastAsia="仿宋" w:cs="仿宋"/>
                <w:color w:val="222222"/>
                <w:sz w:val="32"/>
                <w:szCs w:val="32"/>
                <w:shd w:val="clear" w:color="auto" w:fill="FFFFFF"/>
                <w:lang w:val="en-US" w:eastAsia="zh-CN"/>
              </w:rPr>
              <w:t>二）</w:t>
            </w:r>
            <w:r>
              <w:rPr>
                <w:rFonts w:hint="eastAsia" w:ascii="仿宋" w:hAnsi="仿宋" w:eastAsia="仿宋" w:cs="仿宋"/>
                <w:color w:val="222222"/>
                <w:sz w:val="32"/>
                <w:szCs w:val="32"/>
                <w:shd w:val="clear" w:color="auto" w:fill="FFFFFF"/>
              </w:rPr>
              <w:t>在整个项目实施过程中，对学校提供的所有资料进行严格保密，严格管理，未经学校许可禁止对外发布、泄露。</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lang w:eastAsia="zh-CN"/>
              </w:rPr>
              <w:t>（</w:t>
            </w:r>
            <w:r>
              <w:rPr>
                <w:rFonts w:hint="eastAsia" w:ascii="仿宋" w:hAnsi="仿宋" w:eastAsia="仿宋" w:cs="仿宋"/>
                <w:color w:val="222222"/>
                <w:sz w:val="32"/>
                <w:szCs w:val="32"/>
                <w:shd w:val="clear" w:color="auto" w:fill="FFFFFF"/>
                <w:lang w:val="en-US" w:eastAsia="zh-CN"/>
              </w:rPr>
              <w:t>三）服务方</w:t>
            </w:r>
            <w:r>
              <w:rPr>
                <w:rFonts w:hint="eastAsia" w:ascii="仿宋" w:hAnsi="仿宋" w:eastAsia="仿宋" w:cs="仿宋"/>
                <w:color w:val="222222"/>
                <w:sz w:val="32"/>
                <w:szCs w:val="32"/>
                <w:shd w:val="clear" w:color="auto" w:fill="FFFFFF"/>
              </w:rPr>
              <w:t>须精心</w:t>
            </w:r>
            <w:r>
              <w:rPr>
                <w:rFonts w:hint="eastAsia" w:ascii="仿宋" w:hAnsi="仿宋" w:eastAsia="仿宋" w:cs="仿宋"/>
                <w:color w:val="222222"/>
                <w:sz w:val="32"/>
                <w:szCs w:val="32"/>
                <w:shd w:val="clear" w:color="auto" w:fill="FFFFFF"/>
                <w:lang w:val="en-US" w:eastAsia="zh-CN"/>
              </w:rPr>
              <w:t>选择专家</w:t>
            </w:r>
            <w:r>
              <w:rPr>
                <w:rFonts w:hint="eastAsia" w:ascii="仿宋" w:hAnsi="仿宋" w:eastAsia="仿宋" w:cs="仿宋"/>
                <w:i w:val="0"/>
                <w:iCs w:val="0"/>
                <w:color w:val="000000"/>
                <w:sz w:val="28"/>
                <w:szCs w:val="28"/>
                <w:u w:val="none"/>
                <w:lang w:val="en-US" w:eastAsia="zh-CN"/>
              </w:rPr>
              <w:t>（不少于3人，高级及以上职称）</w:t>
            </w:r>
            <w:r>
              <w:rPr>
                <w:rFonts w:hint="eastAsia" w:ascii="仿宋" w:hAnsi="仿宋" w:eastAsia="仿宋" w:cs="仿宋"/>
                <w:color w:val="222222"/>
                <w:sz w:val="32"/>
                <w:szCs w:val="32"/>
                <w:shd w:val="clear" w:color="auto" w:fill="FFFFFF"/>
              </w:rPr>
              <w:t>，并对</w:t>
            </w:r>
            <w:r>
              <w:rPr>
                <w:rFonts w:hint="eastAsia" w:ascii="仿宋" w:hAnsi="仿宋" w:eastAsia="仿宋" w:cs="仿宋"/>
                <w:color w:val="222222"/>
                <w:sz w:val="32"/>
                <w:szCs w:val="32"/>
                <w:shd w:val="clear" w:color="auto" w:fill="FFFFFF"/>
                <w:lang w:val="en-US" w:eastAsia="zh-CN"/>
              </w:rPr>
              <w:t>专家</w:t>
            </w:r>
            <w:r>
              <w:rPr>
                <w:rFonts w:hint="eastAsia" w:ascii="仿宋" w:hAnsi="仿宋" w:eastAsia="仿宋" w:cs="仿宋"/>
                <w:color w:val="222222"/>
                <w:sz w:val="32"/>
                <w:szCs w:val="32"/>
                <w:shd w:val="clear" w:color="auto" w:fill="FFFFFF"/>
              </w:rPr>
              <w:t>组成员的政治表现和业务素质负责。</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color w:val="222222"/>
                <w:sz w:val="32"/>
                <w:szCs w:val="32"/>
                <w:shd w:val="clear" w:color="auto" w:fill="FFFFFF"/>
              </w:rPr>
            </w:pPr>
          </w:p>
          <w:p>
            <w:pPr>
              <w:spacing w:after="156" w:afterLines="50" w:line="300" w:lineRule="auto"/>
              <w:rPr>
                <w:rFonts w:asciiTheme="minorEastAsia" w:hAnsiTheme="minorEastAsia" w:cstheme="minorEastAsia"/>
                <w:szCs w:val="21"/>
              </w:rPr>
            </w:pPr>
          </w:p>
        </w:tc>
      </w:tr>
    </w:tbl>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bookmarkStart w:id="20" w:name="_GoBack"/>
      <w:bookmarkEnd w:id="20"/>
    </w:p>
    <w:p>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验收合格后一次性付款1</w:t>
      </w:r>
      <w:r>
        <w:rPr>
          <w:rFonts w:ascii="宋体" w:hAnsi="宋体" w:eastAsia="宋体" w:cs="宋体"/>
          <w:sz w:val="32"/>
          <w:szCs w:val="32"/>
          <w:highlight w:val="yellow"/>
          <w:u w:val="single"/>
        </w:rPr>
        <w:t>00</w:t>
      </w:r>
      <w:r>
        <w:rPr>
          <w:rFonts w:hint="eastAsia" w:ascii="宋体" w:hAnsi="宋体" w:eastAsia="宋体" w:cs="宋体"/>
          <w:sz w:val="32"/>
          <w:szCs w:val="32"/>
          <w:highlight w:val="yellow"/>
          <w:u w:val="single"/>
        </w:rPr>
        <w:t>%</w:t>
      </w:r>
      <w:r>
        <w:rPr>
          <w:rFonts w:hint="eastAsia" w:ascii="宋体" w:hAnsi="宋体" w:eastAsia="宋体" w:cs="宋体"/>
          <w:sz w:val="32"/>
          <w:szCs w:val="32"/>
        </w:rPr>
        <w:t>。</w:t>
      </w: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bookmarkStart w:id="15" w:name="_Toc25079259"/>
      <w:bookmarkStart w:id="16" w:name="_Toc12540"/>
    </w:p>
    <w:p>
      <w:pPr>
        <w:pStyle w:val="2"/>
        <w:spacing w:before="624" w:after="624"/>
        <w:rPr>
          <w:sz w:val="36"/>
          <w:szCs w:val="28"/>
        </w:rPr>
      </w:pPr>
      <w:r>
        <w:rPr>
          <w:rFonts w:hint="eastAsia"/>
          <w:sz w:val="36"/>
          <w:szCs w:val="28"/>
        </w:rPr>
        <w:t>投标文件格式</w:t>
      </w:r>
      <w:bookmarkEnd w:id="15"/>
      <w:bookmarkEnd w:id="16"/>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sz w:val="36"/>
          <w:szCs w:val="36"/>
          <w:lang w:eastAsia="zh-CN"/>
        </w:rPr>
      </w:pPr>
      <w:r>
        <w:rPr>
          <w:rFonts w:hint="eastAsia" w:ascii="楷体" w:hAnsi="楷体" w:eastAsia="楷体" w:cs="楷体"/>
          <w:b/>
          <w:bCs/>
          <w:sz w:val="48"/>
          <w:szCs w:val="48"/>
          <w:lang w:eastAsia="zh-CN"/>
        </w:rPr>
        <w:t>成都汽车职业技术学校校园文化建设理念文化咨询指导服务项目</w:t>
      </w: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成都汽车职业技术学校校园文化建设理念文化咨询指导服务项目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9"/>
        <w:rPr>
          <w:rFonts w:ascii="楷体" w:hAnsi="楷体" w:eastAsia="楷体" w:cs="楷体"/>
          <w:sz w:val="36"/>
          <w:szCs w:val="36"/>
        </w:rPr>
      </w:pPr>
    </w:p>
    <w:p>
      <w:pPr>
        <w:pStyle w:val="19"/>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2"/>
        <w:tblpPr w:leftFromText="180" w:rightFromText="180" w:vertAnchor="text" w:horzAnchor="margin" w:tblpY="4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4854"/>
        <w:gridCol w:w="1065"/>
        <w:gridCol w:w="106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83"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2663"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83"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2663" w:type="pct"/>
            <w:vAlign w:val="center"/>
          </w:tcPr>
          <w:p>
            <w:pPr>
              <w:pStyle w:val="4"/>
              <w:jc w:val="center"/>
              <w:rPr>
                <w:rFonts w:ascii="宋体" w:hAnsi="宋体" w:eastAsia="宋体" w:cs="宋体"/>
                <w:color w:val="0000FF"/>
                <w:kern w:val="0"/>
                <w:sz w:val="20"/>
                <w:u w:val="none"/>
              </w:rPr>
            </w:pPr>
            <w:r>
              <w:rPr>
                <w:rFonts w:hint="eastAsia" w:ascii="楷体" w:hAnsi="楷体" w:eastAsia="楷体" w:cs="楷体"/>
                <w:color w:val="000000" w:themeColor="text1"/>
                <w:sz w:val="30"/>
                <w:szCs w:val="30"/>
                <w:highlight w:val="yellow"/>
                <w:u w:val="single"/>
                <w:lang w:eastAsia="zh-CN"/>
                <w14:textFill>
                  <w14:solidFill>
                    <w14:schemeClr w14:val="tx1"/>
                  </w14:solidFill>
                </w14:textFill>
              </w:rPr>
              <w:t>成都汽车职业技术学校校园文化建设理念文化咨询指导服务项目</w:t>
            </w:r>
          </w:p>
        </w:tc>
        <w:tc>
          <w:tcPr>
            <w:tcW w:w="584" w:type="pct"/>
            <w:vAlign w:val="center"/>
          </w:tcPr>
          <w:p>
            <w:pPr>
              <w:pStyle w:val="4"/>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项</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584" w:type="pct"/>
            <w:vAlign w:val="center"/>
          </w:tcPr>
          <w:p>
            <w:pPr>
              <w:pStyle w:val="4"/>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415" w:type="pct"/>
            <w:gridSpan w:val="4"/>
            <w:vAlign w:val="center"/>
          </w:tcPr>
          <w:p>
            <w:pPr>
              <w:pStyle w:val="4"/>
              <w:jc w:val="center"/>
              <w:rPr>
                <w:rFonts w:ascii="宋体" w:hAnsi="宋体" w:eastAsia="宋体" w:cs="宋体"/>
                <w:kern w:val="0"/>
                <w:sz w:val="20"/>
              </w:rPr>
            </w:pPr>
            <w:r>
              <w:rPr>
                <w:rFonts w:hint="eastAsia" w:ascii="宋体" w:hAnsi="宋体" w:eastAsia="宋体" w:cs="宋体"/>
                <w:kern w:val="0"/>
                <w:sz w:val="20"/>
              </w:rPr>
              <w:t>合计</w:t>
            </w:r>
          </w:p>
        </w:tc>
        <w:tc>
          <w:tcPr>
            <w:tcW w:w="584" w:type="pct"/>
            <w:vAlign w:val="center"/>
          </w:tcPr>
          <w:p>
            <w:pPr>
              <w:pStyle w:val="4"/>
              <w:jc w:val="center"/>
              <w:rPr>
                <w:rFonts w:ascii="宋体" w:hAnsi="宋体" w:eastAsia="宋体" w:cs="宋体"/>
                <w:kern w:val="0"/>
                <w:sz w:val="20"/>
              </w:rPr>
            </w:pPr>
          </w:p>
        </w:tc>
      </w:tr>
    </w:tbl>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6"/>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1"/>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9"/>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9"/>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17" w:name="_Toc18544"/>
      <w:bookmarkStart w:id="18" w:name="_Toc25079261"/>
      <w:r>
        <w:rPr>
          <w:rFonts w:hint="eastAsia"/>
          <w:sz w:val="36"/>
          <w:szCs w:val="28"/>
        </w:rPr>
        <w:t>资格审查</w:t>
      </w:r>
      <w:bookmarkEnd w:id="17"/>
      <w:bookmarkEnd w:id="18"/>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1"/>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1"/>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1"/>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1"/>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1"/>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19" w:name="_Toc217446093"/>
      <w:r>
        <w:rPr>
          <w:rFonts w:hint="eastAsia" w:ascii="仿宋_GB2312" w:hAnsi="仿宋_GB2312" w:eastAsia="仿宋_GB2312" w:cs="仿宋_GB2312"/>
          <w:sz w:val="28"/>
          <w:szCs w:val="28"/>
        </w:rPr>
        <w:t>。</w:t>
      </w:r>
    </w:p>
    <w:bookmarkEnd w:id="19"/>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7E11781"/>
    <w:multiLevelType w:val="singleLevel"/>
    <w:tmpl w:val="07E11781"/>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4NjQzNThkZGYzNDY4YTE5MjdhNzUwYTdiZDFiYjgifQ=="/>
  </w:docVars>
  <w:rsids>
    <w:rsidRoot w:val="00BE6395"/>
    <w:rsid w:val="001754AD"/>
    <w:rsid w:val="002B3197"/>
    <w:rsid w:val="00372253"/>
    <w:rsid w:val="004F6D53"/>
    <w:rsid w:val="0050010C"/>
    <w:rsid w:val="005F33F1"/>
    <w:rsid w:val="0071525F"/>
    <w:rsid w:val="0097612C"/>
    <w:rsid w:val="00A51EF5"/>
    <w:rsid w:val="00B2669F"/>
    <w:rsid w:val="00BE6395"/>
    <w:rsid w:val="00D5554C"/>
    <w:rsid w:val="00E37F64"/>
    <w:rsid w:val="00E54C71"/>
    <w:rsid w:val="00E6601F"/>
    <w:rsid w:val="00FC3E1B"/>
    <w:rsid w:val="00FF0151"/>
    <w:rsid w:val="00FF44E3"/>
    <w:rsid w:val="019D115B"/>
    <w:rsid w:val="02B0310F"/>
    <w:rsid w:val="041E0BE1"/>
    <w:rsid w:val="05521601"/>
    <w:rsid w:val="0CF31BCF"/>
    <w:rsid w:val="0E951F4D"/>
    <w:rsid w:val="1380268A"/>
    <w:rsid w:val="1ACE63D1"/>
    <w:rsid w:val="239D4B92"/>
    <w:rsid w:val="26FE4EE7"/>
    <w:rsid w:val="2CF972DD"/>
    <w:rsid w:val="375458D3"/>
    <w:rsid w:val="4B555BCF"/>
    <w:rsid w:val="55B47996"/>
    <w:rsid w:val="565C6063"/>
    <w:rsid w:val="5E8C14B0"/>
    <w:rsid w:val="61025A59"/>
    <w:rsid w:val="67A34ADA"/>
    <w:rsid w:val="6A5B28CE"/>
    <w:rsid w:val="72DC33E5"/>
    <w:rsid w:val="7DE4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5"/>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420" w:firstLineChars="1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Calibri" w:hAnsi="Calibri" w:eastAsia="宋体" w:cs="Times New Roman"/>
    </w:rPr>
  </w:style>
  <w:style w:type="character" w:customStyle="1" w:styleId="15">
    <w:name w:val="日期 字符"/>
    <w:basedOn w:val="13"/>
    <w:link w:val="5"/>
    <w:semiHidden/>
    <w:qFormat/>
    <w:uiPriority w:val="99"/>
  </w:style>
  <w:style w:type="paragraph" w:styleId="16">
    <w:name w:val="List Paragraph"/>
    <w:basedOn w:val="1"/>
    <w:qFormat/>
    <w:uiPriority w:val="34"/>
    <w:pPr>
      <w:ind w:firstLine="420" w:firstLineChars="200"/>
    </w:pPr>
  </w:style>
  <w:style w:type="paragraph" w:customStyle="1" w:styleId="17">
    <w:name w:val="正文首行缩进两字符"/>
    <w:basedOn w:val="18"/>
    <w:qFormat/>
    <w:uiPriority w:val="0"/>
    <w:pPr>
      <w:spacing w:line="360" w:lineRule="auto"/>
      <w:ind w:firstLine="200" w:firstLineChars="200"/>
    </w:pPr>
  </w:style>
  <w:style w:type="paragraph" w:customStyle="1" w:styleId="18">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font11"/>
    <w:basedOn w:val="13"/>
    <w:qFormat/>
    <w:uiPriority w:val="0"/>
    <w:rPr>
      <w:rFonts w:hint="eastAsia" w:ascii="宋体" w:hAnsi="宋体" w:eastAsia="宋体" w:cs="宋体"/>
      <w:color w:val="000000"/>
      <w:sz w:val="24"/>
      <w:szCs w:val="24"/>
      <w:u w:val="none"/>
    </w:rPr>
  </w:style>
  <w:style w:type="paragraph" w:customStyle="1" w:styleId="21">
    <w:name w:val="样式1"/>
    <w:basedOn w:val="22"/>
    <w:qFormat/>
    <w:uiPriority w:val="0"/>
    <w:pPr>
      <w:spacing w:after="0" w:line="400" w:lineRule="exact"/>
      <w:jc w:val="center"/>
    </w:pPr>
    <w:rPr>
      <w:rFonts w:ascii="仿宋" w:hAnsi="仿宋" w:eastAsia="仿宋" w:cs="Times New Roman"/>
      <w:kern w:val="2"/>
      <w:szCs w:val="28"/>
    </w:rPr>
  </w:style>
  <w:style w:type="paragraph" w:customStyle="1" w:styleId="2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23">
    <w:name w:val="首行缩进"/>
    <w:basedOn w:val="1"/>
    <w:qFormat/>
    <w:uiPriority w:val="0"/>
    <w:pPr>
      <w:ind w:firstLine="48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9652-F3EC-45EE-BF63-E414B2B6796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3061</Words>
  <Characters>3093</Characters>
  <Lines>43</Lines>
  <Paragraphs>12</Paragraphs>
  <TotalTime>3</TotalTime>
  <ScaleCrop>false</ScaleCrop>
  <LinksUpToDate>false</LinksUpToDate>
  <CharactersWithSpaces>3358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初秋</cp:lastModifiedBy>
  <dcterms:modified xsi:type="dcterms:W3CDTF">2024-07-23T03:27:31Z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6A8E291316114DDBBAB5EE6A2FC719C8_13</vt:lpwstr>
  </property>
</Properties>
</file>